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CB9DD" w14:textId="291ED910" w:rsidR="00E252C5" w:rsidRPr="00A12790" w:rsidRDefault="00740FD1" w:rsidP="00E252C5">
      <w:pPr>
        <w:autoSpaceDE w:val="0"/>
        <w:autoSpaceDN w:val="0"/>
        <w:adjustRightInd w:val="0"/>
        <w:spacing w:after="0" w:line="240" w:lineRule="auto"/>
        <w:jc w:val="center"/>
        <w:rPr>
          <w:rFonts w:ascii="Arial Narrow" w:hAnsi="Arial Narrow" w:cs="Arial-BoldMT"/>
          <w:b/>
          <w:bCs/>
          <w:sz w:val="24"/>
          <w:szCs w:val="24"/>
        </w:rPr>
      </w:pPr>
      <w:r>
        <w:rPr>
          <w:rFonts w:ascii="Arial Narrow" w:hAnsi="Arial Narrow" w:cs="Arial-BoldMT"/>
          <w:b/>
          <w:bCs/>
          <w:sz w:val="24"/>
          <w:szCs w:val="24"/>
        </w:rPr>
        <w:t>DECRETO</w:t>
      </w:r>
      <w:r w:rsidR="00E252C5" w:rsidRPr="00A12790">
        <w:rPr>
          <w:rFonts w:ascii="Arial Narrow" w:hAnsi="Arial Narrow" w:cs="Arial-BoldMT"/>
          <w:b/>
          <w:bCs/>
          <w:sz w:val="24"/>
          <w:szCs w:val="24"/>
        </w:rPr>
        <w:t xml:space="preserve"> </w:t>
      </w:r>
      <w:r w:rsidR="00155481">
        <w:rPr>
          <w:rFonts w:ascii="Arial Narrow" w:hAnsi="Arial Narrow" w:cs="Arial-BoldMT"/>
          <w:b/>
          <w:bCs/>
          <w:sz w:val="24"/>
          <w:szCs w:val="24"/>
        </w:rPr>
        <w:t>No.</w:t>
      </w:r>
      <w:r w:rsidR="007E216A">
        <w:rPr>
          <w:rFonts w:ascii="Arial Narrow" w:hAnsi="Arial Narrow" w:cs="Arial-BoldMT"/>
          <w:b/>
          <w:bCs/>
          <w:sz w:val="24"/>
          <w:szCs w:val="24"/>
        </w:rPr>
        <w:t xml:space="preserve"> 0</w:t>
      </w:r>
      <w:r w:rsidR="00AE7857">
        <w:rPr>
          <w:rFonts w:ascii="Arial Narrow" w:hAnsi="Arial Narrow" w:cs="Arial-BoldMT"/>
          <w:b/>
          <w:bCs/>
          <w:sz w:val="24"/>
          <w:szCs w:val="24"/>
        </w:rPr>
        <w:t>1</w:t>
      </w:r>
    </w:p>
    <w:p w14:paraId="25F32974" w14:textId="0BB0998C" w:rsidR="00E252C5" w:rsidRPr="00A12790" w:rsidRDefault="00AE7857" w:rsidP="00E252C5">
      <w:pPr>
        <w:autoSpaceDE w:val="0"/>
        <w:autoSpaceDN w:val="0"/>
        <w:adjustRightInd w:val="0"/>
        <w:spacing w:after="0" w:line="240" w:lineRule="auto"/>
        <w:jc w:val="center"/>
        <w:rPr>
          <w:rFonts w:ascii="Arial Narrow" w:hAnsi="Arial Narrow" w:cs="ArialMT"/>
          <w:sz w:val="24"/>
          <w:szCs w:val="24"/>
        </w:rPr>
      </w:pPr>
      <w:r>
        <w:rPr>
          <w:rFonts w:ascii="Arial Narrow" w:hAnsi="Arial Narrow" w:cs="ArialMT"/>
          <w:sz w:val="24"/>
          <w:szCs w:val="24"/>
        </w:rPr>
        <w:t>ENERO</w:t>
      </w:r>
      <w:r w:rsidRPr="00A12790">
        <w:rPr>
          <w:rFonts w:ascii="Arial Narrow" w:hAnsi="Arial Narrow" w:cs="ArialMT"/>
          <w:sz w:val="24"/>
          <w:szCs w:val="24"/>
        </w:rPr>
        <w:t xml:space="preserve"> </w:t>
      </w:r>
      <w:r w:rsidR="001F4DAA" w:rsidRPr="00244A22">
        <w:rPr>
          <w:rFonts w:ascii="Arial Narrow" w:hAnsi="Arial Narrow" w:cs="ArialMT"/>
          <w:sz w:val="24"/>
          <w:szCs w:val="24"/>
          <w:highlight w:val="yellow"/>
        </w:rPr>
        <w:t>XX</w:t>
      </w:r>
      <w:r w:rsidR="001F4DAA" w:rsidRPr="00A12790">
        <w:rPr>
          <w:rFonts w:ascii="Arial Narrow" w:hAnsi="Arial Narrow" w:cs="ArialMT"/>
          <w:sz w:val="24"/>
          <w:szCs w:val="24"/>
        </w:rPr>
        <w:t xml:space="preserve"> DE 20</w:t>
      </w:r>
      <w:r w:rsidR="00563166" w:rsidRPr="00A12790">
        <w:rPr>
          <w:rFonts w:ascii="Arial Narrow" w:hAnsi="Arial Narrow" w:cs="ArialMT"/>
          <w:sz w:val="24"/>
          <w:szCs w:val="24"/>
        </w:rPr>
        <w:t>2</w:t>
      </w:r>
      <w:r>
        <w:rPr>
          <w:rFonts w:ascii="Arial Narrow" w:hAnsi="Arial Narrow" w:cs="ArialMT"/>
          <w:sz w:val="24"/>
          <w:szCs w:val="24"/>
        </w:rPr>
        <w:t>1</w:t>
      </w:r>
    </w:p>
    <w:p w14:paraId="1924A7A1" w14:textId="77777777" w:rsidR="00D613D3" w:rsidRPr="00A12790" w:rsidRDefault="00D613D3" w:rsidP="00E252C5">
      <w:pPr>
        <w:autoSpaceDE w:val="0"/>
        <w:autoSpaceDN w:val="0"/>
        <w:adjustRightInd w:val="0"/>
        <w:spacing w:after="0" w:line="240" w:lineRule="auto"/>
        <w:rPr>
          <w:rFonts w:ascii="Arial Narrow" w:hAnsi="Arial Narrow" w:cs="ArialMT"/>
          <w:sz w:val="24"/>
          <w:szCs w:val="24"/>
        </w:rPr>
      </w:pPr>
    </w:p>
    <w:p w14:paraId="090CEEB6" w14:textId="319E6883" w:rsidR="00D50001" w:rsidRDefault="00792925" w:rsidP="00F76F9D">
      <w:pPr>
        <w:autoSpaceDE w:val="0"/>
        <w:autoSpaceDN w:val="0"/>
        <w:adjustRightInd w:val="0"/>
        <w:spacing w:after="0" w:line="240" w:lineRule="auto"/>
        <w:ind w:right="333"/>
        <w:jc w:val="center"/>
        <w:rPr>
          <w:rFonts w:ascii="Arial Narrow" w:eastAsia="Times New Roman" w:hAnsi="Arial Narrow" w:cs="ArialMT"/>
          <w:b/>
          <w:bCs/>
          <w:sz w:val="24"/>
          <w:szCs w:val="24"/>
        </w:rPr>
      </w:pPr>
      <w:r>
        <w:rPr>
          <w:rFonts w:ascii="Arial Narrow" w:eastAsia="Times New Roman" w:hAnsi="Arial Narrow" w:cs="ArialMT"/>
          <w:b/>
          <w:bCs/>
          <w:sz w:val="24"/>
          <w:szCs w:val="24"/>
        </w:rPr>
        <w:t>“</w:t>
      </w:r>
      <w:r w:rsidR="00A81356" w:rsidRPr="009C1480">
        <w:rPr>
          <w:rFonts w:ascii="Arial Narrow" w:eastAsia="Times New Roman" w:hAnsi="Arial Narrow" w:cs="ArialMT"/>
          <w:b/>
          <w:bCs/>
          <w:sz w:val="24"/>
          <w:szCs w:val="24"/>
        </w:rPr>
        <w:t xml:space="preserve">Por medio del cual </w:t>
      </w:r>
      <w:r w:rsidR="005C5CA2">
        <w:rPr>
          <w:rFonts w:ascii="Arial Narrow" w:eastAsia="Times New Roman" w:hAnsi="Arial Narrow" w:cs="ArialMT"/>
          <w:b/>
          <w:bCs/>
          <w:sz w:val="24"/>
          <w:szCs w:val="24"/>
        </w:rPr>
        <w:t xml:space="preserve">se autoriza </w:t>
      </w:r>
      <w:r w:rsidR="00011F37">
        <w:rPr>
          <w:rFonts w:ascii="Arial Narrow" w:eastAsia="Times New Roman" w:hAnsi="Arial Narrow" w:cs="ArialMT"/>
          <w:b/>
          <w:bCs/>
          <w:sz w:val="24"/>
          <w:szCs w:val="24"/>
        </w:rPr>
        <w:t xml:space="preserve">y </w:t>
      </w:r>
      <w:r w:rsidR="00D613D3">
        <w:rPr>
          <w:rFonts w:ascii="Arial Narrow" w:eastAsia="Times New Roman" w:hAnsi="Arial Narrow" w:cs="ArialMT"/>
          <w:b/>
          <w:bCs/>
          <w:sz w:val="24"/>
          <w:szCs w:val="24"/>
        </w:rPr>
        <w:t>se a</w:t>
      </w:r>
      <w:r w:rsidR="00D613D3" w:rsidRPr="00D613D3">
        <w:rPr>
          <w:rFonts w:ascii="Arial Narrow" w:eastAsia="Times New Roman" w:hAnsi="Arial Narrow" w:cs="ArialMT"/>
          <w:b/>
          <w:bCs/>
          <w:sz w:val="24"/>
          <w:szCs w:val="24"/>
        </w:rPr>
        <w:t xml:space="preserve">dopta la aplicación </w:t>
      </w:r>
      <w:r w:rsidR="00D613D3">
        <w:rPr>
          <w:rFonts w:ascii="Arial Narrow" w:eastAsia="Times New Roman" w:hAnsi="Arial Narrow" w:cs="ArialMT"/>
          <w:b/>
          <w:bCs/>
          <w:sz w:val="24"/>
          <w:szCs w:val="24"/>
        </w:rPr>
        <w:t>de</w:t>
      </w:r>
      <w:r w:rsidR="00D613D3" w:rsidRPr="00D613D3">
        <w:rPr>
          <w:rFonts w:ascii="Arial Narrow" w:eastAsia="Times New Roman" w:hAnsi="Arial Narrow" w:cs="ArialMT"/>
          <w:b/>
          <w:bCs/>
          <w:sz w:val="24"/>
          <w:szCs w:val="24"/>
        </w:rPr>
        <w:t xml:space="preserve"> incrementos </w:t>
      </w:r>
      <w:r w:rsidR="00D613D3">
        <w:rPr>
          <w:rFonts w:ascii="Arial Narrow" w:eastAsia="Times New Roman" w:hAnsi="Arial Narrow" w:cs="ArialMT"/>
          <w:b/>
          <w:bCs/>
          <w:sz w:val="24"/>
          <w:szCs w:val="24"/>
        </w:rPr>
        <w:t>tarifar</w:t>
      </w:r>
      <w:r w:rsidR="00BB36C7">
        <w:rPr>
          <w:rFonts w:ascii="Arial Narrow" w:eastAsia="Times New Roman" w:hAnsi="Arial Narrow" w:cs="ArialMT"/>
          <w:b/>
          <w:bCs/>
          <w:sz w:val="24"/>
          <w:szCs w:val="24"/>
        </w:rPr>
        <w:t>i</w:t>
      </w:r>
      <w:r w:rsidR="00D613D3">
        <w:rPr>
          <w:rFonts w:ascii="Arial Narrow" w:eastAsia="Times New Roman" w:hAnsi="Arial Narrow" w:cs="ArialMT"/>
          <w:b/>
          <w:bCs/>
          <w:sz w:val="24"/>
          <w:szCs w:val="24"/>
        </w:rPr>
        <w:t>os para</w:t>
      </w:r>
      <w:r w:rsidR="003C58ED">
        <w:rPr>
          <w:rFonts w:ascii="Arial Narrow" w:eastAsia="Times New Roman" w:hAnsi="Arial Narrow" w:cs="ArialMT"/>
          <w:b/>
          <w:bCs/>
          <w:sz w:val="24"/>
          <w:szCs w:val="24"/>
        </w:rPr>
        <w:t xml:space="preserve"> los servicios de Acueducto y Alcantarillado de</w:t>
      </w:r>
      <w:r w:rsidR="00D613D3">
        <w:rPr>
          <w:rFonts w:ascii="Arial Narrow" w:eastAsia="Times New Roman" w:hAnsi="Arial Narrow" w:cs="ArialMT"/>
          <w:b/>
          <w:bCs/>
          <w:sz w:val="24"/>
          <w:szCs w:val="24"/>
        </w:rPr>
        <w:t xml:space="preserve"> </w:t>
      </w:r>
      <w:r w:rsidR="005C5CA2">
        <w:rPr>
          <w:rFonts w:ascii="Arial Narrow" w:eastAsia="Times New Roman" w:hAnsi="Arial Narrow" w:cs="ArialMT"/>
          <w:b/>
          <w:bCs/>
          <w:sz w:val="24"/>
          <w:szCs w:val="24"/>
        </w:rPr>
        <w:t>la empresa Aguas Regionales EPM S.A. E.S.P</w:t>
      </w:r>
      <w:r w:rsidR="00A36093">
        <w:rPr>
          <w:rFonts w:ascii="Arial Narrow" w:eastAsia="Times New Roman" w:hAnsi="Arial Narrow" w:cs="ArialMT"/>
          <w:b/>
          <w:bCs/>
          <w:sz w:val="24"/>
          <w:szCs w:val="24"/>
        </w:rPr>
        <w:t>.</w:t>
      </w:r>
      <w:r>
        <w:rPr>
          <w:rFonts w:ascii="Arial Narrow" w:eastAsia="Times New Roman" w:hAnsi="Arial Narrow" w:cs="ArialMT"/>
          <w:b/>
          <w:bCs/>
          <w:sz w:val="24"/>
          <w:szCs w:val="24"/>
        </w:rPr>
        <w:t>”</w:t>
      </w:r>
    </w:p>
    <w:p w14:paraId="2679AE9A" w14:textId="0528BB9F" w:rsidR="0050041D" w:rsidRDefault="0050041D" w:rsidP="00A81356">
      <w:pPr>
        <w:autoSpaceDE w:val="0"/>
        <w:autoSpaceDN w:val="0"/>
        <w:adjustRightInd w:val="0"/>
        <w:spacing w:after="0" w:line="240" w:lineRule="auto"/>
        <w:ind w:left="284" w:right="333"/>
        <w:jc w:val="both"/>
        <w:rPr>
          <w:rFonts w:ascii="Arial Narrow" w:eastAsia="Times New Roman" w:hAnsi="Arial Narrow" w:cs="ArialMT"/>
          <w:b/>
          <w:bCs/>
          <w:sz w:val="24"/>
          <w:szCs w:val="24"/>
        </w:rPr>
      </w:pPr>
    </w:p>
    <w:p w14:paraId="06B2884D" w14:textId="488E608A" w:rsidR="0050041D" w:rsidRPr="0050041D" w:rsidRDefault="0050041D" w:rsidP="00A81356">
      <w:pPr>
        <w:autoSpaceDE w:val="0"/>
        <w:autoSpaceDN w:val="0"/>
        <w:adjustRightInd w:val="0"/>
        <w:spacing w:after="0" w:line="240" w:lineRule="auto"/>
        <w:ind w:left="284" w:right="333"/>
        <w:jc w:val="both"/>
        <w:rPr>
          <w:rFonts w:ascii="Arial Narrow" w:eastAsia="Times New Roman" w:hAnsi="Arial Narrow" w:cs="ArialMT"/>
          <w:sz w:val="24"/>
          <w:szCs w:val="24"/>
        </w:rPr>
      </w:pPr>
      <w:r w:rsidRPr="0050041D">
        <w:rPr>
          <w:rFonts w:ascii="Arial Narrow" w:eastAsia="Times New Roman" w:hAnsi="Arial Narrow" w:cs="ArialMT"/>
          <w:sz w:val="24"/>
          <w:szCs w:val="24"/>
        </w:rPr>
        <w:t>La JUNTA DIRECTIVA de AGUAS REGIONALES EPM S.A. E.S.P.</w:t>
      </w:r>
      <w:r w:rsidR="000B6F64">
        <w:rPr>
          <w:rFonts w:ascii="Arial Narrow" w:eastAsia="Times New Roman" w:hAnsi="Arial Narrow" w:cs="ArialMT"/>
          <w:sz w:val="24"/>
          <w:szCs w:val="24"/>
        </w:rPr>
        <w:t>,</w:t>
      </w:r>
      <w:r w:rsidRPr="0050041D">
        <w:rPr>
          <w:rFonts w:ascii="Arial Narrow" w:eastAsia="Times New Roman" w:hAnsi="Arial Narrow" w:cs="ArialMT"/>
          <w:sz w:val="24"/>
          <w:szCs w:val="24"/>
        </w:rPr>
        <w:t xml:space="preserve"> en ejercicio de sus facultades legales y estatutarias, en especial la consagrada en el numeral 1</w:t>
      </w:r>
      <w:r w:rsidR="00EE10C1">
        <w:rPr>
          <w:rFonts w:ascii="Arial Narrow" w:eastAsia="Times New Roman" w:hAnsi="Arial Narrow" w:cs="ArialMT"/>
          <w:sz w:val="24"/>
          <w:szCs w:val="24"/>
        </w:rPr>
        <w:t>3</w:t>
      </w:r>
      <w:r w:rsidRPr="0050041D">
        <w:rPr>
          <w:rFonts w:ascii="Arial Narrow" w:eastAsia="Times New Roman" w:hAnsi="Arial Narrow" w:cs="ArialMT"/>
          <w:sz w:val="24"/>
          <w:szCs w:val="24"/>
        </w:rPr>
        <w:t xml:space="preserve"> del artículo vigésimo </w:t>
      </w:r>
      <w:r w:rsidR="00EE10C1">
        <w:rPr>
          <w:rFonts w:ascii="Arial Narrow" w:eastAsia="Times New Roman" w:hAnsi="Arial Narrow" w:cs="ArialMT"/>
          <w:sz w:val="24"/>
          <w:szCs w:val="24"/>
        </w:rPr>
        <w:t>noveno</w:t>
      </w:r>
      <w:r w:rsidRPr="0050041D">
        <w:rPr>
          <w:rFonts w:ascii="Arial Narrow" w:eastAsia="Times New Roman" w:hAnsi="Arial Narrow" w:cs="ArialMT"/>
          <w:sz w:val="24"/>
          <w:szCs w:val="24"/>
        </w:rPr>
        <w:t xml:space="preserve"> de los estatutos sociales y, </w:t>
      </w:r>
    </w:p>
    <w:p w14:paraId="5B41FFE5" w14:textId="0E02E317" w:rsidR="00235FD3" w:rsidRPr="009C1480" w:rsidRDefault="00235FD3" w:rsidP="00125431">
      <w:pPr>
        <w:autoSpaceDE w:val="0"/>
        <w:autoSpaceDN w:val="0"/>
        <w:adjustRightInd w:val="0"/>
        <w:spacing w:after="0" w:line="240" w:lineRule="auto"/>
        <w:jc w:val="both"/>
        <w:rPr>
          <w:rFonts w:ascii="Arial Narrow" w:hAnsi="Arial Narrow" w:cs="ArialMT"/>
          <w:sz w:val="24"/>
          <w:szCs w:val="24"/>
        </w:rPr>
      </w:pPr>
    </w:p>
    <w:p w14:paraId="4A9F6740" w14:textId="77777777" w:rsidR="00EA0AEA" w:rsidRPr="009C1480" w:rsidRDefault="00EA0AEA" w:rsidP="00E252C5">
      <w:pPr>
        <w:autoSpaceDE w:val="0"/>
        <w:autoSpaceDN w:val="0"/>
        <w:adjustRightInd w:val="0"/>
        <w:spacing w:after="0" w:line="240" w:lineRule="auto"/>
        <w:rPr>
          <w:rFonts w:ascii="Arial Narrow" w:hAnsi="Arial Narrow" w:cs="Arial-BoldMT"/>
          <w:b/>
          <w:bCs/>
          <w:sz w:val="24"/>
          <w:szCs w:val="24"/>
        </w:rPr>
      </w:pPr>
    </w:p>
    <w:p w14:paraId="23F43A02" w14:textId="6048DCD6" w:rsidR="00E252C5" w:rsidRPr="009C1480" w:rsidRDefault="00E252C5" w:rsidP="00E252C5">
      <w:pPr>
        <w:autoSpaceDE w:val="0"/>
        <w:autoSpaceDN w:val="0"/>
        <w:adjustRightInd w:val="0"/>
        <w:spacing w:after="0" w:line="240" w:lineRule="auto"/>
        <w:jc w:val="center"/>
        <w:rPr>
          <w:rFonts w:ascii="Arial Narrow" w:hAnsi="Arial Narrow" w:cs="Arial-BoldMT"/>
          <w:b/>
          <w:bCs/>
          <w:sz w:val="24"/>
          <w:szCs w:val="24"/>
        </w:rPr>
      </w:pPr>
      <w:r w:rsidRPr="009C1480">
        <w:rPr>
          <w:rFonts w:ascii="Arial Narrow" w:hAnsi="Arial Narrow" w:cs="Arial-BoldMT"/>
          <w:b/>
          <w:bCs/>
          <w:sz w:val="24"/>
          <w:szCs w:val="24"/>
        </w:rPr>
        <w:t>CONSIDERANDO</w:t>
      </w:r>
    </w:p>
    <w:p w14:paraId="0B7EF9EC" w14:textId="77777777" w:rsidR="00550833" w:rsidRPr="00E3746F" w:rsidRDefault="00550833" w:rsidP="009C1480">
      <w:pPr>
        <w:rPr>
          <w:rFonts w:ascii="Arial Narrow" w:hAnsi="Arial Narrow" w:cs="Arial"/>
        </w:rPr>
      </w:pPr>
    </w:p>
    <w:p w14:paraId="55D7E863" w14:textId="14EC9735" w:rsidR="00A06F8F" w:rsidRDefault="0050041D" w:rsidP="00A06F8F">
      <w:pPr>
        <w:numPr>
          <w:ilvl w:val="0"/>
          <w:numId w:val="2"/>
        </w:numPr>
        <w:autoSpaceDE w:val="0"/>
        <w:autoSpaceDN w:val="0"/>
        <w:adjustRightInd w:val="0"/>
        <w:spacing w:after="0" w:line="271" w:lineRule="auto"/>
        <w:ind w:left="426"/>
        <w:jc w:val="both"/>
        <w:rPr>
          <w:rFonts w:ascii="Arial Narrow" w:hAnsi="Arial Narrow" w:cs="Arial"/>
        </w:rPr>
      </w:pPr>
      <w:r>
        <w:rPr>
          <w:rFonts w:ascii="Arial Narrow" w:hAnsi="Arial Narrow" w:cs="Arial"/>
        </w:rPr>
        <w:t>Que el numeral 13 del artículo vigésimo noveno de los estatutos sociales de Aguas Regionales EPM S.A. E.S.P.</w:t>
      </w:r>
      <w:r w:rsidR="00011F37">
        <w:rPr>
          <w:rFonts w:ascii="Arial Narrow" w:hAnsi="Arial Narrow" w:cs="Arial"/>
        </w:rPr>
        <w:t>,</w:t>
      </w:r>
      <w:r>
        <w:rPr>
          <w:rFonts w:ascii="Arial Narrow" w:hAnsi="Arial Narrow" w:cs="Arial"/>
        </w:rPr>
        <w:t xml:space="preserve"> otorga a la Junta Directiva de la empresa la función de fijar las tarifas correspondientes a los servicios de acuerdo con suje</w:t>
      </w:r>
      <w:r w:rsidR="00A06F8F">
        <w:rPr>
          <w:rFonts w:ascii="Arial Narrow" w:hAnsi="Arial Narrow" w:cs="Arial"/>
        </w:rPr>
        <w:t>ción al régimen de regulación y con las fórmulas que definan periódicamente las Comisiones de Regulación y las excepciones expresamente señaladas en la Ley.</w:t>
      </w:r>
    </w:p>
    <w:p w14:paraId="39AE21FA" w14:textId="77777777" w:rsidR="00A06F8F" w:rsidRDefault="00A06F8F" w:rsidP="00A06F8F">
      <w:pPr>
        <w:autoSpaceDE w:val="0"/>
        <w:autoSpaceDN w:val="0"/>
        <w:adjustRightInd w:val="0"/>
        <w:spacing w:after="0" w:line="271" w:lineRule="auto"/>
        <w:ind w:left="426"/>
        <w:jc w:val="both"/>
        <w:rPr>
          <w:rFonts w:ascii="Arial Narrow" w:hAnsi="Arial Narrow" w:cs="Arial"/>
        </w:rPr>
      </w:pPr>
    </w:p>
    <w:p w14:paraId="76829A2D" w14:textId="355F577E" w:rsidR="00A06F8F" w:rsidRDefault="00A06F8F" w:rsidP="00A06F8F">
      <w:pPr>
        <w:numPr>
          <w:ilvl w:val="0"/>
          <w:numId w:val="2"/>
        </w:numPr>
        <w:autoSpaceDE w:val="0"/>
        <w:autoSpaceDN w:val="0"/>
        <w:adjustRightInd w:val="0"/>
        <w:spacing w:after="0" w:line="271" w:lineRule="auto"/>
        <w:ind w:left="426"/>
        <w:jc w:val="both"/>
        <w:rPr>
          <w:rFonts w:ascii="Arial Narrow" w:hAnsi="Arial Narrow" w:cs="Arial"/>
        </w:rPr>
      </w:pPr>
      <w:r>
        <w:rPr>
          <w:rFonts w:ascii="Arial Narrow" w:hAnsi="Arial Narrow" w:cs="Arial"/>
        </w:rPr>
        <w:t>Que de conformidad con lo dispuesto en el artículo 1 de la Resolución CRA 271 de 2003, le corresponde a la Junta Directiva o quien haga sus veces, en su calidad de entidad tarifaria local, definir las tarifas de los servicios de acueducto y alcantarillado.</w:t>
      </w:r>
    </w:p>
    <w:p w14:paraId="53B62C68" w14:textId="77777777" w:rsidR="00A06F8F" w:rsidRDefault="00A06F8F" w:rsidP="00A06F8F">
      <w:pPr>
        <w:autoSpaceDE w:val="0"/>
        <w:autoSpaceDN w:val="0"/>
        <w:adjustRightInd w:val="0"/>
        <w:spacing w:after="0" w:line="271" w:lineRule="auto"/>
        <w:ind w:left="426"/>
        <w:jc w:val="both"/>
        <w:rPr>
          <w:rFonts w:ascii="Arial Narrow" w:hAnsi="Arial Narrow" w:cs="Arial"/>
        </w:rPr>
      </w:pPr>
    </w:p>
    <w:p w14:paraId="56E10A3E" w14:textId="56FB01D8" w:rsidR="00606C2C" w:rsidRPr="00A06F8F" w:rsidRDefault="002C191B" w:rsidP="00A06F8F">
      <w:pPr>
        <w:numPr>
          <w:ilvl w:val="0"/>
          <w:numId w:val="2"/>
        </w:numPr>
        <w:autoSpaceDE w:val="0"/>
        <w:autoSpaceDN w:val="0"/>
        <w:adjustRightInd w:val="0"/>
        <w:spacing w:after="0" w:line="271" w:lineRule="auto"/>
        <w:ind w:left="426"/>
        <w:jc w:val="both"/>
        <w:rPr>
          <w:rFonts w:ascii="Arial Narrow" w:hAnsi="Arial Narrow" w:cs="Arial"/>
        </w:rPr>
      </w:pPr>
      <w:r w:rsidRPr="00A06F8F">
        <w:rPr>
          <w:rFonts w:ascii="Arial Narrow" w:hAnsi="Arial Narrow" w:cs="Arial"/>
        </w:rPr>
        <w:t xml:space="preserve">Que el Artículo 87 de la Ley 142 de 1994 estableció que el régimen tarifario estará orientado por los criterios de eficiencia económica, neutralidad, solidaridad, redistribución, suficiencia financiera, simplicidad y transparencia. </w:t>
      </w:r>
    </w:p>
    <w:p w14:paraId="0E42BBEF" w14:textId="77777777" w:rsidR="00606C2C" w:rsidRDefault="00606C2C" w:rsidP="00606C2C">
      <w:pPr>
        <w:autoSpaceDE w:val="0"/>
        <w:autoSpaceDN w:val="0"/>
        <w:adjustRightInd w:val="0"/>
        <w:spacing w:after="0" w:line="271" w:lineRule="auto"/>
        <w:ind w:left="426"/>
        <w:jc w:val="both"/>
        <w:rPr>
          <w:rFonts w:ascii="Arial Narrow" w:hAnsi="Arial Narrow" w:cs="Arial"/>
        </w:rPr>
      </w:pPr>
    </w:p>
    <w:p w14:paraId="22D83982" w14:textId="01311EBE" w:rsidR="0050041D" w:rsidRPr="00A06F8F" w:rsidRDefault="002C191B" w:rsidP="00A06F8F">
      <w:pPr>
        <w:numPr>
          <w:ilvl w:val="0"/>
          <w:numId w:val="2"/>
        </w:numPr>
        <w:autoSpaceDE w:val="0"/>
        <w:autoSpaceDN w:val="0"/>
        <w:adjustRightInd w:val="0"/>
        <w:spacing w:after="0" w:line="271" w:lineRule="auto"/>
        <w:ind w:left="426"/>
        <w:jc w:val="both"/>
        <w:rPr>
          <w:rFonts w:ascii="Arial Narrow" w:hAnsi="Arial Narrow" w:cs="Arial"/>
        </w:rPr>
      </w:pPr>
      <w:r w:rsidRPr="00606C2C">
        <w:rPr>
          <w:rFonts w:ascii="Arial Narrow" w:hAnsi="Arial Narrow" w:cs="Arial"/>
        </w:rPr>
        <w:t>Que el criterio de suficiencia financiera definido en el numeral 4 del mencionado artículo</w:t>
      </w:r>
      <w:r w:rsidRPr="00606C2C" w:rsidDel="004C20BC">
        <w:rPr>
          <w:rFonts w:ascii="Arial Narrow" w:hAnsi="Arial Narrow" w:cs="Arial"/>
        </w:rPr>
        <w:t xml:space="preserve"> </w:t>
      </w:r>
      <w:r w:rsidRPr="00606C2C">
        <w:rPr>
          <w:rFonts w:ascii="Arial Narrow" w:hAnsi="Arial Narrow" w:cs="Arial"/>
        </w:rPr>
        <w:t>establece que, en condiciones de eficiencia, las empresas deben recuperar sus costos de inversión y sus gastos de administración, operación y mantenimiento.</w:t>
      </w:r>
    </w:p>
    <w:p w14:paraId="4E89052D" w14:textId="77777777" w:rsidR="002C191B" w:rsidRPr="00E3746F" w:rsidRDefault="002C191B" w:rsidP="002C191B">
      <w:pPr>
        <w:ind w:left="720"/>
        <w:contextualSpacing/>
        <w:rPr>
          <w:rFonts w:ascii="Arial Narrow" w:hAnsi="Arial Narrow" w:cs="Arial"/>
        </w:rPr>
      </w:pPr>
    </w:p>
    <w:p w14:paraId="79986849" w14:textId="77777777" w:rsidR="002C191B" w:rsidRPr="00E3746F" w:rsidRDefault="002C191B" w:rsidP="002C191B">
      <w:pPr>
        <w:numPr>
          <w:ilvl w:val="0"/>
          <w:numId w:val="2"/>
        </w:numPr>
        <w:autoSpaceDE w:val="0"/>
        <w:autoSpaceDN w:val="0"/>
        <w:adjustRightInd w:val="0"/>
        <w:spacing w:after="0" w:line="271" w:lineRule="auto"/>
        <w:ind w:left="426"/>
        <w:jc w:val="both"/>
        <w:rPr>
          <w:rFonts w:ascii="Arial Narrow" w:hAnsi="Arial Narrow" w:cs="Arial"/>
        </w:rPr>
      </w:pPr>
      <w:r w:rsidRPr="00E3746F">
        <w:rPr>
          <w:rFonts w:ascii="Arial Narrow" w:hAnsi="Arial Narrow" w:cs="Arial"/>
        </w:rPr>
        <w:t>Que de acuerdo con el artículo 88 de la Ley 142 de 1994, al fijar sus tarifas, las empresas de servicios públicos se someterán al régimen de regulación, el cual podrá incluir las modalidades de libertad regulada y libertad vigilada, o un régimen de libertad.</w:t>
      </w:r>
    </w:p>
    <w:p w14:paraId="66E5A9A9" w14:textId="77777777" w:rsidR="002C191B" w:rsidRPr="00E3746F" w:rsidRDefault="002C191B" w:rsidP="002C191B">
      <w:pPr>
        <w:ind w:left="720"/>
        <w:contextualSpacing/>
        <w:rPr>
          <w:rFonts w:ascii="Arial Narrow" w:hAnsi="Arial Narrow" w:cs="Arial"/>
        </w:rPr>
      </w:pPr>
    </w:p>
    <w:p w14:paraId="13AA9D07" w14:textId="77777777" w:rsidR="002C191B" w:rsidRPr="00E3746F" w:rsidRDefault="002C191B" w:rsidP="002C191B">
      <w:pPr>
        <w:numPr>
          <w:ilvl w:val="0"/>
          <w:numId w:val="2"/>
        </w:numPr>
        <w:autoSpaceDE w:val="0"/>
        <w:autoSpaceDN w:val="0"/>
        <w:adjustRightInd w:val="0"/>
        <w:spacing w:after="0" w:line="271" w:lineRule="auto"/>
        <w:ind w:left="426"/>
        <w:jc w:val="both"/>
        <w:rPr>
          <w:rFonts w:ascii="Arial Narrow" w:hAnsi="Arial Narrow" w:cs="Arial"/>
        </w:rPr>
      </w:pPr>
      <w:r w:rsidRPr="00E3746F">
        <w:rPr>
          <w:rFonts w:ascii="Arial Narrow" w:hAnsi="Arial Narrow" w:cs="Arial"/>
        </w:rPr>
        <w:t xml:space="preserve">Que según lo dispuesto en el artículo 88.1 de la Ley 142 de 1994, en un régimen de libertad regulada, para fijar sus tarifas, las empresas deben ceñirse a las fórmulas que defina periódicamente la respectiva Comisión, quien, de acuerdo con los estudios de costos, puede establecer topes máximos y mínimos tarifarios, de obligatorio cumplimiento por parte de las empresas. </w:t>
      </w:r>
    </w:p>
    <w:p w14:paraId="1356C6D9" w14:textId="77777777" w:rsidR="002C191B" w:rsidRPr="00E3746F" w:rsidRDefault="002C191B" w:rsidP="002C191B">
      <w:pPr>
        <w:ind w:left="720"/>
        <w:contextualSpacing/>
        <w:rPr>
          <w:rFonts w:ascii="Arial Narrow" w:hAnsi="Arial Narrow" w:cs="Arial"/>
        </w:rPr>
      </w:pPr>
    </w:p>
    <w:p w14:paraId="2D2213F9" w14:textId="53719469" w:rsidR="002C191B" w:rsidRDefault="002C191B" w:rsidP="005C5CA2">
      <w:pPr>
        <w:numPr>
          <w:ilvl w:val="0"/>
          <w:numId w:val="2"/>
        </w:numPr>
        <w:autoSpaceDE w:val="0"/>
        <w:autoSpaceDN w:val="0"/>
        <w:adjustRightInd w:val="0"/>
        <w:spacing w:after="0" w:line="271" w:lineRule="auto"/>
        <w:ind w:left="426"/>
        <w:jc w:val="both"/>
        <w:rPr>
          <w:rFonts w:ascii="Arial Narrow" w:hAnsi="Arial Narrow" w:cs="Arial"/>
        </w:rPr>
      </w:pPr>
      <w:r w:rsidRPr="00E3746F">
        <w:rPr>
          <w:rFonts w:ascii="Arial Narrow" w:hAnsi="Arial Narrow" w:cs="Arial"/>
        </w:rPr>
        <w:t xml:space="preserve">Que de conformidad con el inciso segundo del numeral 3 del artículo 90 de la Ley 142 de 1994, ninguno de los cargos involucrados en las fórmulas tarifarias “... </w:t>
      </w:r>
      <w:r w:rsidRPr="00E3746F">
        <w:rPr>
          <w:rFonts w:ascii="Arial Narrow" w:hAnsi="Arial Narrow" w:cs="Arial"/>
          <w:i/>
        </w:rPr>
        <w:t xml:space="preserve">podrá contradecir el principio de la eficiencia, ni </w:t>
      </w:r>
      <w:r w:rsidRPr="00E3746F">
        <w:rPr>
          <w:rFonts w:ascii="Arial Narrow" w:hAnsi="Arial Narrow" w:cs="Arial"/>
          <w:i/>
        </w:rPr>
        <w:lastRenderedPageBreak/>
        <w:t>trasladar al usuario los costos de una gestión ineficiente o extraer beneficios de posiciones dominantes o de monopolio</w:t>
      </w:r>
      <w:r w:rsidRPr="00E3746F">
        <w:rPr>
          <w:rFonts w:ascii="Arial Narrow" w:hAnsi="Arial Narrow" w:cs="Arial"/>
        </w:rPr>
        <w:t>”.</w:t>
      </w:r>
    </w:p>
    <w:p w14:paraId="475756E9" w14:textId="77777777" w:rsidR="00011F37" w:rsidRPr="005C5CA2" w:rsidRDefault="00011F37" w:rsidP="00F76F9D">
      <w:pPr>
        <w:autoSpaceDE w:val="0"/>
        <w:autoSpaceDN w:val="0"/>
        <w:adjustRightInd w:val="0"/>
        <w:spacing w:after="0" w:line="271" w:lineRule="auto"/>
        <w:ind w:left="426"/>
        <w:jc w:val="both"/>
        <w:rPr>
          <w:rFonts w:ascii="Arial Narrow" w:hAnsi="Arial Narrow" w:cs="Arial"/>
        </w:rPr>
      </w:pPr>
    </w:p>
    <w:p w14:paraId="1308BD48" w14:textId="77777777" w:rsidR="008F0780" w:rsidRDefault="002C191B" w:rsidP="008F0780">
      <w:pPr>
        <w:numPr>
          <w:ilvl w:val="0"/>
          <w:numId w:val="2"/>
        </w:numPr>
        <w:autoSpaceDE w:val="0"/>
        <w:autoSpaceDN w:val="0"/>
        <w:adjustRightInd w:val="0"/>
        <w:spacing w:after="0" w:line="271" w:lineRule="auto"/>
        <w:ind w:left="426"/>
        <w:jc w:val="both"/>
        <w:rPr>
          <w:rFonts w:ascii="Arial Narrow" w:hAnsi="Arial Narrow" w:cs="Arial"/>
        </w:rPr>
      </w:pPr>
      <w:r w:rsidRPr="00E3746F">
        <w:rPr>
          <w:rFonts w:ascii="Arial Narrow" w:hAnsi="Arial Narrow" w:cs="ArialMT"/>
        </w:rPr>
        <w:t>Que según lo dispuesto en el Artículo 164 de la Ley 142 de 1994, se debe garantizar el adecuado ordenamiento y protección de las cuencas y fuentes de agua, en el cual las fórmulas tarifarias de los servicios de acueducto y alcantarillado incorporarán elementos que garanticen el cubrimiento de los costos de protección de las fuentes de agua y la recolección, transporte y tratamiento de los residuos líquidos. Las empresas de servicios del sector de agua potable y saneamiento básico pagarán las tasas a que haya lugar por el uso de agua y por el vertimiento de afluentes líquidos, que fije la autoridad competente de acuerdo con la ley.</w:t>
      </w:r>
    </w:p>
    <w:p w14:paraId="5196AB4D" w14:textId="77777777" w:rsidR="00011F37" w:rsidRPr="00022BB1" w:rsidRDefault="00011F37" w:rsidP="00F76F9D">
      <w:pPr>
        <w:autoSpaceDE w:val="0"/>
        <w:autoSpaceDN w:val="0"/>
        <w:adjustRightInd w:val="0"/>
        <w:spacing w:after="0" w:line="271" w:lineRule="auto"/>
        <w:ind w:left="426"/>
        <w:jc w:val="both"/>
        <w:rPr>
          <w:rFonts w:ascii="Arial Narrow" w:hAnsi="Arial Narrow" w:cs="Arial"/>
        </w:rPr>
      </w:pPr>
    </w:p>
    <w:p w14:paraId="36969EA5" w14:textId="6CAA0535" w:rsidR="002C191B" w:rsidRPr="008F0780" w:rsidRDefault="002C191B" w:rsidP="008F0780">
      <w:pPr>
        <w:numPr>
          <w:ilvl w:val="0"/>
          <w:numId w:val="2"/>
        </w:numPr>
        <w:autoSpaceDE w:val="0"/>
        <w:autoSpaceDN w:val="0"/>
        <w:adjustRightInd w:val="0"/>
        <w:spacing w:after="0" w:line="271" w:lineRule="auto"/>
        <w:ind w:left="426"/>
        <w:jc w:val="both"/>
        <w:rPr>
          <w:rFonts w:ascii="Arial Narrow" w:hAnsi="Arial Narrow" w:cs="Arial"/>
        </w:rPr>
      </w:pPr>
      <w:r w:rsidRPr="008F0780">
        <w:rPr>
          <w:rFonts w:ascii="Arial Narrow" w:hAnsi="Arial Narrow" w:cs="ArialMT"/>
        </w:rPr>
        <w:t>Que los artículos 42 y 43 de la Ley 99 de 1993 establecen la tasa retributiva, entre otras, por la utilización directa e indirecta del agua para introducir o arrojar aguas negras o servidas; y las tasas por utilización de aguas y su respectivo cobro.</w:t>
      </w:r>
    </w:p>
    <w:p w14:paraId="4B50F1B0" w14:textId="77777777" w:rsidR="002C191B" w:rsidRPr="00E3746F" w:rsidRDefault="002C191B" w:rsidP="002C191B">
      <w:pPr>
        <w:ind w:left="720"/>
        <w:contextualSpacing/>
        <w:rPr>
          <w:rFonts w:ascii="Arial Narrow" w:hAnsi="Arial Narrow" w:cs="ArialMT"/>
        </w:rPr>
      </w:pPr>
    </w:p>
    <w:p w14:paraId="7B54CD4B" w14:textId="31292BB7" w:rsidR="002C191B" w:rsidRPr="00F76F9D" w:rsidRDefault="002C191B" w:rsidP="002C191B">
      <w:pPr>
        <w:numPr>
          <w:ilvl w:val="0"/>
          <w:numId w:val="2"/>
        </w:numPr>
        <w:autoSpaceDE w:val="0"/>
        <w:autoSpaceDN w:val="0"/>
        <w:adjustRightInd w:val="0"/>
        <w:spacing w:after="0" w:line="271" w:lineRule="auto"/>
        <w:ind w:left="426"/>
        <w:jc w:val="both"/>
        <w:rPr>
          <w:rFonts w:ascii="Arial Narrow" w:hAnsi="Arial Narrow" w:cs="ArialMT"/>
        </w:rPr>
      </w:pPr>
      <w:r w:rsidRPr="00E3746F">
        <w:rPr>
          <w:rFonts w:ascii="Arial Narrow" w:hAnsi="Arial Narrow" w:cs="Arial"/>
        </w:rPr>
        <w:t xml:space="preserve">Que el 24 de junio de 2014 fue expedida por </w:t>
      </w:r>
      <w:bookmarkStart w:id="0" w:name="_Hlk46501525"/>
      <w:r w:rsidRPr="00E3746F">
        <w:rPr>
          <w:rFonts w:ascii="Arial Narrow" w:hAnsi="Arial Narrow" w:cs="Arial"/>
        </w:rPr>
        <w:t>la Comisión de Regulación de Agua Potable y Saneamiento Básico -CRA-</w:t>
      </w:r>
      <w:bookmarkEnd w:id="0"/>
      <w:r w:rsidRPr="00E3746F">
        <w:rPr>
          <w:rFonts w:ascii="Arial Narrow" w:hAnsi="Arial Narrow" w:cs="Arial"/>
        </w:rPr>
        <w:t xml:space="preserve">, la Resolución CRA 688, modificada, adicionada y aclarada por la Resolución CRA 735 de 2015, por medio de la cual se estableció la metodología tarifaria para las personas prestadoras de los servicios públicos domiciliarios de acueducto y alcantarillado con más de 5.000 suscriptores en el área </w:t>
      </w:r>
      <w:r w:rsidRPr="00F76F9D">
        <w:rPr>
          <w:rFonts w:ascii="Arial Narrow" w:hAnsi="Arial Narrow" w:cs="ArialMT"/>
        </w:rPr>
        <w:t>urbana.</w:t>
      </w:r>
    </w:p>
    <w:p w14:paraId="06C2E5DE" w14:textId="77777777" w:rsidR="00F76F9D" w:rsidRPr="00F76F9D" w:rsidRDefault="00F76F9D" w:rsidP="00F76F9D">
      <w:pPr>
        <w:autoSpaceDE w:val="0"/>
        <w:autoSpaceDN w:val="0"/>
        <w:adjustRightInd w:val="0"/>
        <w:spacing w:after="0" w:line="271" w:lineRule="auto"/>
        <w:ind w:left="426"/>
        <w:jc w:val="both"/>
        <w:rPr>
          <w:rFonts w:ascii="Arial Narrow" w:hAnsi="Arial Narrow" w:cs="ArialMT"/>
        </w:rPr>
      </w:pPr>
    </w:p>
    <w:p w14:paraId="7DF93CAD" w14:textId="77777777" w:rsidR="00F76F9D" w:rsidRPr="00F76F9D" w:rsidRDefault="00F76F9D" w:rsidP="00F76F9D">
      <w:pPr>
        <w:numPr>
          <w:ilvl w:val="0"/>
          <w:numId w:val="2"/>
        </w:numPr>
        <w:autoSpaceDE w:val="0"/>
        <w:autoSpaceDN w:val="0"/>
        <w:adjustRightInd w:val="0"/>
        <w:spacing w:after="0" w:line="271" w:lineRule="auto"/>
        <w:ind w:left="426"/>
        <w:jc w:val="both"/>
        <w:rPr>
          <w:rFonts w:ascii="Arial Narrow" w:hAnsi="Arial Narrow" w:cs="ArialMT"/>
        </w:rPr>
      </w:pPr>
      <w:r w:rsidRPr="00F76F9D">
        <w:rPr>
          <w:rFonts w:ascii="Arial Narrow" w:hAnsi="Arial Narrow" w:cs="ArialMT"/>
        </w:rPr>
        <w:t>Que mediante Resolución No. 20180910000914-5 de marzo 3 de 2018 la Junta Directiva de Aguas Regionales EPM S.A. E.S.P., se aprobaron los cargos tarifarios del Costo Medio de Administración (CMA), Costo Medio de Operación (CMO) y Costo Medio de Inversión (CMI).</w:t>
      </w:r>
    </w:p>
    <w:p w14:paraId="5DDC9C7F" w14:textId="77777777" w:rsidR="00A06F8F" w:rsidRPr="00F76F9D" w:rsidRDefault="00A06F8F" w:rsidP="00F76F9D">
      <w:pPr>
        <w:autoSpaceDE w:val="0"/>
        <w:autoSpaceDN w:val="0"/>
        <w:adjustRightInd w:val="0"/>
        <w:spacing w:after="0" w:line="271" w:lineRule="auto"/>
        <w:ind w:left="426"/>
        <w:jc w:val="both"/>
        <w:rPr>
          <w:rFonts w:ascii="Arial Narrow" w:hAnsi="Arial Narrow" w:cs="ArialMT"/>
        </w:rPr>
      </w:pPr>
    </w:p>
    <w:p w14:paraId="74EEB6A8" w14:textId="02186187" w:rsidR="008F0780" w:rsidRPr="00F76F9D" w:rsidRDefault="00A06F8F" w:rsidP="008F0780">
      <w:pPr>
        <w:numPr>
          <w:ilvl w:val="0"/>
          <w:numId w:val="2"/>
        </w:numPr>
        <w:autoSpaceDE w:val="0"/>
        <w:autoSpaceDN w:val="0"/>
        <w:adjustRightInd w:val="0"/>
        <w:spacing w:after="0" w:line="271" w:lineRule="auto"/>
        <w:ind w:left="426"/>
        <w:jc w:val="both"/>
        <w:rPr>
          <w:rFonts w:ascii="Arial Narrow" w:hAnsi="Arial Narrow" w:cs="ArialMT"/>
        </w:rPr>
      </w:pPr>
      <w:r w:rsidRPr="00F76F9D">
        <w:rPr>
          <w:rFonts w:ascii="Arial Narrow" w:hAnsi="Arial Narrow" w:cs="ArialMT"/>
        </w:rPr>
        <w:t>Que el Artículo 111 de la Resolución CRA 688 de 2014 establece que el resultado de la aplicación de la metodología</w:t>
      </w:r>
      <w:r>
        <w:rPr>
          <w:rFonts w:ascii="Arial Narrow" w:hAnsi="Arial Narrow" w:cs="Arial"/>
        </w:rPr>
        <w:t xml:space="preserve"> tarifaria será un valor máximo y los artículos 28, 35,41, 54 y 55, indican los componentes tarifarios que pueden variar sin previa solicitud ante la Comisión de Regulación de Agua Potable y </w:t>
      </w:r>
      <w:r w:rsidRPr="00F76F9D">
        <w:rPr>
          <w:rFonts w:ascii="Arial Narrow" w:hAnsi="Arial Narrow" w:cs="ArialMT"/>
        </w:rPr>
        <w:t>Saneamiento Básico.</w:t>
      </w:r>
    </w:p>
    <w:p w14:paraId="5B7772A6" w14:textId="77777777" w:rsidR="00F76F9D" w:rsidRPr="00F76F9D" w:rsidRDefault="00F76F9D" w:rsidP="00F76F9D">
      <w:pPr>
        <w:autoSpaceDE w:val="0"/>
        <w:autoSpaceDN w:val="0"/>
        <w:adjustRightInd w:val="0"/>
        <w:spacing w:after="0" w:line="271" w:lineRule="auto"/>
        <w:ind w:left="426"/>
        <w:jc w:val="both"/>
        <w:rPr>
          <w:rFonts w:ascii="Arial Narrow" w:hAnsi="Arial Narrow" w:cs="ArialMT"/>
        </w:rPr>
      </w:pPr>
    </w:p>
    <w:p w14:paraId="5B161110" w14:textId="0665E78F" w:rsidR="00BF66CB" w:rsidRPr="00BF66CB" w:rsidRDefault="00F76F9D" w:rsidP="00BF66CB">
      <w:pPr>
        <w:numPr>
          <w:ilvl w:val="0"/>
          <w:numId w:val="2"/>
        </w:numPr>
        <w:autoSpaceDE w:val="0"/>
        <w:autoSpaceDN w:val="0"/>
        <w:adjustRightInd w:val="0"/>
        <w:spacing w:after="0" w:line="271" w:lineRule="auto"/>
        <w:ind w:left="426"/>
        <w:jc w:val="both"/>
        <w:rPr>
          <w:rFonts w:ascii="Arial Narrow" w:hAnsi="Arial Narrow" w:cs="ArialMT"/>
        </w:rPr>
      </w:pPr>
      <w:r w:rsidRPr="00F76F9D">
        <w:rPr>
          <w:rFonts w:ascii="Arial Narrow" w:hAnsi="Arial Narrow" w:cs="ArialMT"/>
        </w:rPr>
        <w:t>Que la Junta Directiva de Aguas Regionales a través del Decreto 007 de diciembre 22 de 2017, delegó en el Gerente General</w:t>
      </w:r>
      <w:r w:rsidRPr="00C65CB2">
        <w:rPr>
          <w:rFonts w:ascii="Arial Narrow" w:hAnsi="Arial Narrow" w:cs="Arial"/>
        </w:rPr>
        <w:t xml:space="preserve"> la modificación de las tarifas según las condiciones establecidas en los artículos </w:t>
      </w:r>
      <w:r w:rsidRPr="00C13992">
        <w:rPr>
          <w:rFonts w:ascii="Arial Narrow" w:hAnsi="Arial Narrow" w:cs="Arial"/>
        </w:rPr>
        <w:t xml:space="preserve">28, </w:t>
      </w:r>
      <w:r w:rsidRPr="00BF66CB">
        <w:rPr>
          <w:rFonts w:ascii="Arial Narrow" w:hAnsi="Arial Narrow" w:cs="ArialMT"/>
        </w:rPr>
        <w:t>35, 41, 42, 54 y 55 de la Resolución CRA 688 de 201</w:t>
      </w:r>
      <w:r w:rsidRPr="00BF66CB" w:rsidDel="008D2926">
        <w:rPr>
          <w:rFonts w:ascii="Arial Narrow" w:hAnsi="Arial Narrow" w:cs="ArialMT"/>
        </w:rPr>
        <w:t>4</w:t>
      </w:r>
      <w:r w:rsidRPr="00BF66CB">
        <w:rPr>
          <w:rFonts w:ascii="Arial Narrow" w:hAnsi="Arial Narrow" w:cs="ArialMT"/>
        </w:rPr>
        <w:t>.</w:t>
      </w:r>
    </w:p>
    <w:p w14:paraId="60995FDC" w14:textId="77777777" w:rsidR="00BF66CB" w:rsidRPr="00BF66CB" w:rsidRDefault="00BF66CB" w:rsidP="00BF66CB">
      <w:pPr>
        <w:autoSpaceDE w:val="0"/>
        <w:autoSpaceDN w:val="0"/>
        <w:adjustRightInd w:val="0"/>
        <w:spacing w:after="0" w:line="271" w:lineRule="auto"/>
        <w:ind w:left="426"/>
        <w:jc w:val="both"/>
        <w:rPr>
          <w:rFonts w:ascii="Arial Narrow" w:hAnsi="Arial Narrow" w:cs="ArialMT"/>
        </w:rPr>
      </w:pPr>
    </w:p>
    <w:p w14:paraId="76FF6D1C" w14:textId="77777777" w:rsidR="00BF66CB" w:rsidRPr="00BF66CB" w:rsidRDefault="00BF66CB" w:rsidP="00BF66CB">
      <w:pPr>
        <w:numPr>
          <w:ilvl w:val="0"/>
          <w:numId w:val="2"/>
        </w:numPr>
        <w:autoSpaceDE w:val="0"/>
        <w:autoSpaceDN w:val="0"/>
        <w:adjustRightInd w:val="0"/>
        <w:spacing w:after="0" w:line="271" w:lineRule="auto"/>
        <w:ind w:left="426"/>
        <w:jc w:val="both"/>
        <w:rPr>
          <w:rFonts w:ascii="Arial Narrow" w:hAnsi="Arial Narrow" w:cs="ArialMT"/>
        </w:rPr>
      </w:pPr>
      <w:r w:rsidRPr="00BF66CB">
        <w:rPr>
          <w:rFonts w:ascii="Arial Narrow" w:hAnsi="Arial Narrow" w:cs="ArialMT"/>
        </w:rPr>
        <w:t>Que la Resolución CRA  864 del 21 de diciembre de 2018,  modificó los artículos 54 y 55 de la Resolución CRA 688 de 2014 estableciendo que, las personas prestadoras deberán modificar los costos medios generados por tasas ambientales (CMT) para los servicios de acueducto y alcantarillado cuando se generen variaciones en los valores de las tasas de uso del agua o en los valores de las tarifas mínimas o de la carga contaminante de los parámetros por parte de la autoridad ambiental, respectivamente; y que para ello, deberán cumplir las disposiciones contenidas en la Sección 5.1.1 de la Resolución CRA 151 de 2001 sobre información de variaciones tarifarias.</w:t>
      </w:r>
    </w:p>
    <w:p w14:paraId="4009C47B" w14:textId="77777777" w:rsidR="00BF66CB" w:rsidRPr="00BF66CB" w:rsidRDefault="00BF66CB" w:rsidP="00BF66CB">
      <w:pPr>
        <w:autoSpaceDE w:val="0"/>
        <w:autoSpaceDN w:val="0"/>
        <w:adjustRightInd w:val="0"/>
        <w:spacing w:after="0" w:line="271" w:lineRule="auto"/>
        <w:ind w:left="426"/>
        <w:jc w:val="both"/>
        <w:rPr>
          <w:rFonts w:ascii="Arial Narrow" w:hAnsi="Arial Narrow" w:cs="ArialMT"/>
        </w:rPr>
      </w:pPr>
    </w:p>
    <w:p w14:paraId="53FFED2D" w14:textId="77777777" w:rsidR="00BF66CB" w:rsidRPr="00BF66CB" w:rsidRDefault="00BF66CB" w:rsidP="00BF66CB">
      <w:pPr>
        <w:autoSpaceDE w:val="0"/>
        <w:autoSpaceDN w:val="0"/>
        <w:adjustRightInd w:val="0"/>
        <w:spacing w:after="0" w:line="271" w:lineRule="auto"/>
        <w:ind w:left="426"/>
        <w:jc w:val="both"/>
        <w:rPr>
          <w:rFonts w:ascii="Arial Narrow" w:hAnsi="Arial Narrow" w:cs="ArialMT"/>
        </w:rPr>
      </w:pPr>
    </w:p>
    <w:p w14:paraId="1C3ACBB7" w14:textId="77777777" w:rsidR="00BF66CB" w:rsidRPr="00BF66CB" w:rsidRDefault="00BF66CB" w:rsidP="00BF66CB">
      <w:pPr>
        <w:numPr>
          <w:ilvl w:val="0"/>
          <w:numId w:val="2"/>
        </w:numPr>
        <w:autoSpaceDE w:val="0"/>
        <w:autoSpaceDN w:val="0"/>
        <w:adjustRightInd w:val="0"/>
        <w:spacing w:after="0" w:line="271" w:lineRule="auto"/>
        <w:ind w:left="426"/>
        <w:jc w:val="both"/>
        <w:rPr>
          <w:rFonts w:ascii="Arial Narrow" w:hAnsi="Arial Narrow" w:cs="ArialMT"/>
        </w:rPr>
      </w:pPr>
      <w:r w:rsidRPr="00BF66CB">
        <w:rPr>
          <w:rFonts w:ascii="Arial Narrow" w:hAnsi="Arial Narrow" w:cs="ArialMT"/>
        </w:rPr>
        <w:lastRenderedPageBreak/>
        <w:t>Que mediante Resolución N0. 20200910001879-17 de 23 de julio de 2020, se aprobaron los Costos Medios de Tasas Ambientales –CMT, para lo Servicios Públicos Domiciliarios de Acueducto y Alcantarillado que presta AGUAS REGIONALES EPM S.A.E.S.P, que presentaron disminución para el quinto año tarifario. Para el servicio de acueducto aplica en el área de prestación del servicio -APS- de Santa fe de Antioquia y para el servicio de alcantarillado para las APS de Santa fe de Antioquia, San Jerónimo y Sopetrán.  El APS de Olaya, no presentó disminución en ninguno de los servicios.</w:t>
      </w:r>
    </w:p>
    <w:p w14:paraId="16A5E255" w14:textId="77777777" w:rsidR="00BF66CB" w:rsidRPr="00BF66CB" w:rsidRDefault="00BF66CB" w:rsidP="00BF66CB">
      <w:pPr>
        <w:autoSpaceDE w:val="0"/>
        <w:autoSpaceDN w:val="0"/>
        <w:adjustRightInd w:val="0"/>
        <w:spacing w:after="0" w:line="271" w:lineRule="auto"/>
        <w:ind w:left="426"/>
        <w:jc w:val="both"/>
        <w:rPr>
          <w:rFonts w:ascii="Arial Narrow" w:hAnsi="Arial Narrow" w:cs="ArialMT"/>
        </w:rPr>
      </w:pPr>
    </w:p>
    <w:p w14:paraId="74E888DA" w14:textId="77777777" w:rsidR="00BF66CB" w:rsidRPr="00BF66CB" w:rsidRDefault="00BF66CB" w:rsidP="00BF66CB">
      <w:pPr>
        <w:numPr>
          <w:ilvl w:val="0"/>
          <w:numId w:val="2"/>
        </w:numPr>
        <w:autoSpaceDE w:val="0"/>
        <w:autoSpaceDN w:val="0"/>
        <w:adjustRightInd w:val="0"/>
        <w:spacing w:after="0" w:line="271" w:lineRule="auto"/>
        <w:ind w:left="426"/>
        <w:jc w:val="both"/>
        <w:rPr>
          <w:rFonts w:ascii="Arial Narrow" w:hAnsi="Arial Narrow" w:cs="ArialMT"/>
        </w:rPr>
      </w:pPr>
      <w:r w:rsidRPr="00BF66CB">
        <w:rPr>
          <w:rFonts w:ascii="Arial Narrow" w:hAnsi="Arial Narrow" w:cs="ArialMT"/>
        </w:rPr>
        <w:t>Que mediante Resolución N0. 20200910002480- 28 de 29 de septiembre de 2020, se aprobaron los Costos Medios de Tasas Ambientales – CMT, para lo Servicios Públicos Domiciliarios de Acueducto y Alcantarillado que presta AGUAS REGIONALES EPM S.A.E.S.P, que presentaron disminución para el quinto año tarifario. Para el servicio de acueducto aplica en el APS de Apartadó y para el servicio de alcantarillado para las APS de Apartadó, Chigorodó, Turbo y Mutatá.  El APS de Carepa, no presentó disminución en ninguno de los servicios.</w:t>
      </w:r>
    </w:p>
    <w:p w14:paraId="17D71952" w14:textId="77777777" w:rsidR="00BF66CB" w:rsidRPr="00BF66CB" w:rsidRDefault="00BF66CB" w:rsidP="00BF66CB">
      <w:pPr>
        <w:autoSpaceDE w:val="0"/>
        <w:autoSpaceDN w:val="0"/>
        <w:adjustRightInd w:val="0"/>
        <w:spacing w:after="0" w:line="271" w:lineRule="auto"/>
        <w:ind w:left="426"/>
        <w:jc w:val="both"/>
        <w:rPr>
          <w:rFonts w:ascii="Arial Narrow" w:hAnsi="Arial Narrow" w:cs="ArialMT"/>
        </w:rPr>
      </w:pPr>
    </w:p>
    <w:p w14:paraId="31F317A9" w14:textId="77777777" w:rsidR="00BF66CB" w:rsidRPr="00BF66CB" w:rsidRDefault="00BF66CB" w:rsidP="00BF66CB">
      <w:pPr>
        <w:numPr>
          <w:ilvl w:val="0"/>
          <w:numId w:val="2"/>
        </w:numPr>
        <w:autoSpaceDE w:val="0"/>
        <w:autoSpaceDN w:val="0"/>
        <w:adjustRightInd w:val="0"/>
        <w:spacing w:after="0" w:line="271" w:lineRule="auto"/>
        <w:ind w:left="426"/>
        <w:jc w:val="both"/>
        <w:rPr>
          <w:rFonts w:ascii="Arial Narrow" w:hAnsi="Arial Narrow" w:cs="ArialMT"/>
        </w:rPr>
      </w:pPr>
      <w:r w:rsidRPr="00BF66CB">
        <w:rPr>
          <w:rFonts w:ascii="Arial Narrow" w:hAnsi="Arial Narrow" w:cs="ArialMT"/>
        </w:rPr>
        <w:t>Que el parágrafo 4 del artículo 35 de la Resolución CRA 688 de 2014, modificado el 21 de diciembre de 2018 por la Resolución CRA 864 de 2018 estableció que: “Cada vez que, en un periodo de doce (12) meses continuos, correspondiente al año tarifario i, se acumule un aumento o disminución de mínimo el 5% en pesos constantes en alguno de los costos operativos unitarios particulares de energía eléctrica y/o insumos químicos, estos deberán ser ajustados por la persona prestadora. Lo anterior, sin perjuicio del cumplimiento de las disposiciones contenidas en la sección 5.1.1 de la Resolución CRA 151 de 2001 o la norma que la modifique, adicione o derogue en relación con el reporte de las variaciones tarifarias. Adicionalmente, la persona prestadora deberá remitir a la Superintendencia de Servicios Públicos Domiciliarios los soportes que generaron tales variaciones.”</w:t>
      </w:r>
    </w:p>
    <w:p w14:paraId="55DF8310" w14:textId="77777777" w:rsidR="00BF66CB" w:rsidRPr="00BF66CB" w:rsidRDefault="00BF66CB" w:rsidP="00BF66CB">
      <w:pPr>
        <w:autoSpaceDE w:val="0"/>
        <w:autoSpaceDN w:val="0"/>
        <w:adjustRightInd w:val="0"/>
        <w:spacing w:after="0" w:line="271" w:lineRule="auto"/>
        <w:ind w:left="426"/>
        <w:jc w:val="both"/>
        <w:rPr>
          <w:rFonts w:ascii="Arial Narrow" w:hAnsi="Arial Narrow" w:cs="ArialMT"/>
        </w:rPr>
      </w:pPr>
    </w:p>
    <w:p w14:paraId="7AB3E064" w14:textId="77777777" w:rsidR="00BF66CB" w:rsidRPr="00BF66CB" w:rsidRDefault="00BF66CB" w:rsidP="00BF66CB">
      <w:pPr>
        <w:numPr>
          <w:ilvl w:val="0"/>
          <w:numId w:val="2"/>
        </w:numPr>
        <w:autoSpaceDE w:val="0"/>
        <w:autoSpaceDN w:val="0"/>
        <w:adjustRightInd w:val="0"/>
        <w:spacing w:after="0" w:line="271" w:lineRule="auto"/>
        <w:ind w:left="426"/>
        <w:jc w:val="both"/>
        <w:rPr>
          <w:rFonts w:ascii="Arial Narrow" w:hAnsi="Arial Narrow" w:cs="ArialMT"/>
        </w:rPr>
      </w:pPr>
      <w:r w:rsidRPr="00BF66CB">
        <w:rPr>
          <w:rFonts w:ascii="Arial Narrow" w:hAnsi="Arial Narrow" w:cs="ArialMT"/>
        </w:rPr>
        <w:t>Que el parágrafo 4 del artículo 41 de la Resolución CRA 688 de 2014, modificado el 21 de diciembre de 2018 por la Resolución CRA 864 de 2018 estableció que: “Cada vez que, en un periodo de doce (12) meses continuos correspondiente al año tarifario i, se acumule un aumento o disminución de mínimo 5%, en pesos constantes, en el costo de tratamiento de aguas residuales - CTR, éste deberá ser ajustado por la persona prestadora. Lo anterior, sin perjuicio del cumplimiento de las disposiciones contenidas en la sección 5.1.1 de la Resolución CRA 151 de 2001 o la norma que la modifique, adicione o derogue en relación con el reporte de las variaciones tarifarias. Adicionalmente, la persona prestadora deberá remitir a la Superintendencia de Servicios Públicos Domiciliarios los soportes que generaron tales variaciones.”</w:t>
      </w:r>
    </w:p>
    <w:p w14:paraId="61B44587" w14:textId="77777777" w:rsidR="00BF66CB" w:rsidRPr="00BF66CB" w:rsidRDefault="00BF66CB" w:rsidP="00BF66CB">
      <w:pPr>
        <w:autoSpaceDE w:val="0"/>
        <w:autoSpaceDN w:val="0"/>
        <w:adjustRightInd w:val="0"/>
        <w:spacing w:after="0" w:line="271" w:lineRule="auto"/>
        <w:ind w:left="426"/>
        <w:jc w:val="both"/>
        <w:rPr>
          <w:rFonts w:ascii="Arial Narrow" w:hAnsi="Arial Narrow" w:cs="ArialMT"/>
        </w:rPr>
      </w:pPr>
    </w:p>
    <w:p w14:paraId="5BDC26C8" w14:textId="027E072D" w:rsidR="00BF66CB" w:rsidRDefault="00BF66CB" w:rsidP="00BF66CB">
      <w:pPr>
        <w:numPr>
          <w:ilvl w:val="0"/>
          <w:numId w:val="2"/>
        </w:numPr>
        <w:autoSpaceDE w:val="0"/>
        <w:autoSpaceDN w:val="0"/>
        <w:adjustRightInd w:val="0"/>
        <w:spacing w:after="0" w:line="271" w:lineRule="auto"/>
        <w:ind w:left="426"/>
        <w:jc w:val="both"/>
        <w:rPr>
          <w:rFonts w:ascii="Arial Narrow" w:hAnsi="Arial Narrow" w:cs="ArialMT"/>
        </w:rPr>
      </w:pPr>
      <w:r w:rsidRPr="00BF66CB">
        <w:rPr>
          <w:rFonts w:ascii="Arial Narrow" w:hAnsi="Arial Narrow" w:cs="ArialMT"/>
        </w:rPr>
        <w:t>Que mediante la Resolución CRA 911 de 2020 se establecieron medidas regulatorias transitorias para el sector de agua potable y saneamiento básico, derivadas de la emergencia declarada por el Gobierno Nacional a causa del COVID-19, que incluyeron la suspensión de los incrementos tarifarios de los servicios de acueducto y alcantarillado por el término de la emergencia sanitaria, declarada por el Ministerio de Salud y Protección Social mediante la Resolución 385 de 12 de marzo de 2020, prorrogada actualmente hasta el 28 de febrero de 2021, en virtud de las Resoluciones 844, 1462 y 2230 de 2020.</w:t>
      </w:r>
    </w:p>
    <w:p w14:paraId="56911C02" w14:textId="77777777" w:rsidR="00BF66CB" w:rsidRPr="00BF66CB" w:rsidRDefault="00BF66CB" w:rsidP="00107CAE">
      <w:pPr>
        <w:autoSpaceDE w:val="0"/>
        <w:autoSpaceDN w:val="0"/>
        <w:adjustRightInd w:val="0"/>
        <w:spacing w:after="0" w:line="271" w:lineRule="auto"/>
        <w:jc w:val="both"/>
        <w:rPr>
          <w:rFonts w:ascii="Arial Narrow" w:hAnsi="Arial Narrow" w:cs="ArialMT"/>
        </w:rPr>
      </w:pPr>
    </w:p>
    <w:p w14:paraId="17EC4B73" w14:textId="77777777" w:rsidR="00BF66CB" w:rsidRPr="00BF66CB" w:rsidRDefault="00BF66CB" w:rsidP="00BF66CB">
      <w:pPr>
        <w:numPr>
          <w:ilvl w:val="0"/>
          <w:numId w:val="2"/>
        </w:numPr>
        <w:autoSpaceDE w:val="0"/>
        <w:autoSpaceDN w:val="0"/>
        <w:adjustRightInd w:val="0"/>
        <w:spacing w:after="0" w:line="271" w:lineRule="auto"/>
        <w:ind w:left="426"/>
        <w:jc w:val="both"/>
        <w:rPr>
          <w:rFonts w:ascii="Arial Narrow" w:hAnsi="Arial Narrow" w:cs="ArialMT"/>
        </w:rPr>
      </w:pPr>
      <w:proofErr w:type="gramStart"/>
      <w:r w:rsidRPr="00BF66CB">
        <w:rPr>
          <w:rFonts w:ascii="Arial Narrow" w:hAnsi="Arial Narrow" w:cs="ArialMT"/>
        </w:rPr>
        <w:t>Que</w:t>
      </w:r>
      <w:proofErr w:type="gramEnd"/>
      <w:r w:rsidRPr="00BF66CB">
        <w:rPr>
          <w:rFonts w:ascii="Arial Narrow" w:hAnsi="Arial Narrow" w:cs="ArialMT"/>
        </w:rPr>
        <w:t xml:space="preserve"> una vez realizados los análisis de la información correspondientes a los costos unitarios particulares del tercer año tarifario, comprendido entre el 1 de julio de 2018 y el 30 de junio de 2019 y el cuarto año tarifario comprendido entre el 1 de julio de 2019 y el 30 de junio de 2020, se encontraron aumentos </w:t>
      </w:r>
      <w:r w:rsidRPr="00BF66CB">
        <w:rPr>
          <w:rFonts w:ascii="Arial Narrow" w:hAnsi="Arial Narrow" w:cs="ArialMT"/>
        </w:rPr>
        <w:lastRenderedPageBreak/>
        <w:t>superiores al 5% en ambos servicios, los cuales no fueron aplicados por EPM debido a la restricción establecida en la Resolución CRA 911 de 2020.</w:t>
      </w:r>
    </w:p>
    <w:p w14:paraId="5F1742A2" w14:textId="77777777" w:rsidR="00BF66CB" w:rsidRPr="00BF66CB" w:rsidRDefault="00BF66CB" w:rsidP="00BF66CB">
      <w:pPr>
        <w:autoSpaceDE w:val="0"/>
        <w:autoSpaceDN w:val="0"/>
        <w:adjustRightInd w:val="0"/>
        <w:spacing w:after="0" w:line="271" w:lineRule="auto"/>
        <w:ind w:left="426"/>
        <w:jc w:val="both"/>
        <w:rPr>
          <w:rFonts w:ascii="Arial Narrow" w:hAnsi="Arial Narrow" w:cs="ArialMT"/>
        </w:rPr>
      </w:pPr>
    </w:p>
    <w:p w14:paraId="1A64221C" w14:textId="77777777" w:rsidR="00BF66CB" w:rsidRPr="00BF66CB" w:rsidRDefault="00BF66CB" w:rsidP="00BF66CB">
      <w:pPr>
        <w:numPr>
          <w:ilvl w:val="0"/>
          <w:numId w:val="2"/>
        </w:numPr>
        <w:autoSpaceDE w:val="0"/>
        <w:autoSpaceDN w:val="0"/>
        <w:adjustRightInd w:val="0"/>
        <w:spacing w:after="0" w:line="271" w:lineRule="auto"/>
        <w:ind w:left="426"/>
        <w:jc w:val="both"/>
        <w:rPr>
          <w:rFonts w:ascii="Arial Narrow" w:hAnsi="Arial Narrow" w:cs="ArialMT"/>
        </w:rPr>
      </w:pPr>
      <w:r w:rsidRPr="00BF66CB">
        <w:rPr>
          <w:rFonts w:ascii="Arial Narrow" w:hAnsi="Arial Narrow" w:cs="ArialMT"/>
        </w:rPr>
        <w:t>Que el parágrafo 4 del artículo 35 de la Resolución CRA 688 de 2014, modificado el 21 de diciembre de 2018 por la Resolución CRA 864 de 2018 estableció que: “Cada vez que, en un periodo de doce (12) meses continuos, correspondiente al año tarifario i, se acumule un aumento o disminución de mínimo el 5% en pesos constantes en alguno de los costos operativos unitarios particulares de energía eléctrica y/o insumos químicos, estos deberán ser ajustados por la persona prestadora. Lo anterior, sin perjuicio del cumplimiento de las disposiciones contenidas en la sección 5.1.1 de la Resolución CRA 151 de 2001 o la norma que la modifique, adicione o derogue en relación con el reporte de las variaciones tarifarias. Adicionalmente, la persona prestadora deberá remitir a la Superintendencia de Servicios Públicos Domiciliarios los soportes que generaron tales variaciones.”</w:t>
      </w:r>
    </w:p>
    <w:p w14:paraId="0E7D5D2C" w14:textId="77777777" w:rsidR="00BF66CB" w:rsidRPr="00BF66CB" w:rsidRDefault="00BF66CB" w:rsidP="00BF66CB">
      <w:pPr>
        <w:autoSpaceDE w:val="0"/>
        <w:autoSpaceDN w:val="0"/>
        <w:adjustRightInd w:val="0"/>
        <w:spacing w:after="0" w:line="271" w:lineRule="auto"/>
        <w:ind w:left="426"/>
        <w:jc w:val="both"/>
        <w:rPr>
          <w:rFonts w:ascii="Arial Narrow" w:hAnsi="Arial Narrow" w:cs="ArialMT"/>
        </w:rPr>
      </w:pPr>
    </w:p>
    <w:p w14:paraId="7A6C2205" w14:textId="77777777" w:rsidR="00BF66CB" w:rsidRPr="00BF66CB" w:rsidRDefault="00BF66CB" w:rsidP="00BF66CB">
      <w:pPr>
        <w:numPr>
          <w:ilvl w:val="0"/>
          <w:numId w:val="2"/>
        </w:numPr>
        <w:autoSpaceDE w:val="0"/>
        <w:autoSpaceDN w:val="0"/>
        <w:adjustRightInd w:val="0"/>
        <w:spacing w:after="0" w:line="271" w:lineRule="auto"/>
        <w:ind w:left="426"/>
        <w:jc w:val="both"/>
        <w:rPr>
          <w:rFonts w:ascii="Arial Narrow" w:hAnsi="Arial Narrow" w:cs="ArialMT"/>
        </w:rPr>
      </w:pPr>
      <w:r w:rsidRPr="00BF66CB">
        <w:rPr>
          <w:rFonts w:ascii="Arial Narrow" w:hAnsi="Arial Narrow" w:cs="ArialMT"/>
        </w:rPr>
        <w:t>Que el parágrafo 4 del artículo 41 de la Resolución CRA 688 de 2014, modificado el 21 de diciembre de 2018 por la Resolución CRA 864 de 2018 estableció que: “Cada vez que, en un periodo de doce (12) meses continuos correspondiente al año tarifario i, se acumule un aumento o disminución de mínimo 5%, en pesos constantes, en el costo de tratamiento de aguas residuales - CTR, éste deberá ser ajustado por la persona prestadora. Lo anterior, sin perjuicio del cumplimiento de las disposiciones contenidas en la sección 5.1.1 de la Resolución CRA 151 de 2001 o la norma que la modifique, adicione o derogue en relación con el reporte de las variaciones tarifarias. Adicionalmente, la persona prestadora deberá remitir a la Superintendencia de Servicios Públicos Domiciliarios los soportes que generaron tales variaciones.”</w:t>
      </w:r>
    </w:p>
    <w:p w14:paraId="21620D22" w14:textId="77777777" w:rsidR="00BF66CB" w:rsidRPr="00BF66CB" w:rsidRDefault="00BF66CB" w:rsidP="00BF66CB">
      <w:pPr>
        <w:autoSpaceDE w:val="0"/>
        <w:autoSpaceDN w:val="0"/>
        <w:adjustRightInd w:val="0"/>
        <w:spacing w:after="0" w:line="271" w:lineRule="auto"/>
        <w:ind w:left="426"/>
        <w:jc w:val="both"/>
        <w:rPr>
          <w:rFonts w:ascii="Arial Narrow" w:hAnsi="Arial Narrow" w:cs="ArialMT"/>
        </w:rPr>
      </w:pPr>
    </w:p>
    <w:p w14:paraId="1949602E" w14:textId="29DC4441" w:rsidR="006448EF" w:rsidRPr="0015204E" w:rsidRDefault="00BF66CB" w:rsidP="0015204E">
      <w:pPr>
        <w:numPr>
          <w:ilvl w:val="0"/>
          <w:numId w:val="2"/>
        </w:numPr>
        <w:autoSpaceDE w:val="0"/>
        <w:autoSpaceDN w:val="0"/>
        <w:adjustRightInd w:val="0"/>
        <w:spacing w:after="0" w:line="271" w:lineRule="auto"/>
        <w:ind w:left="426"/>
        <w:jc w:val="both"/>
        <w:rPr>
          <w:rFonts w:ascii="Arial Narrow" w:hAnsi="Arial Narrow" w:cs="ArialMT"/>
        </w:rPr>
      </w:pPr>
      <w:r w:rsidRPr="00BF66CB">
        <w:rPr>
          <w:rFonts w:ascii="Arial Narrow" w:hAnsi="Arial Narrow" w:cs="ArialMT"/>
        </w:rPr>
        <w:t>Que los segundos parágrafos de los artículos 54 y 55 de la Resolución CRA 688 de 2014 establecen que, las personas prestadoras deberán modificar los costos medios generados por tasas ambientales (CMT) para los servicios de acueducto y alcantarillado cuando se generen variaciones en los valores de las tasas de uso del agua o en los valores de las tarifas mínimas o de la carga contaminante de los parámetros por parte de la autoridad ambiental, respectivamente; y que para ello, deberán cumplir las disposiciones contenidas en la Sección 5.1.1 de la Resolución CRA 151 de 2001 sobre información de variaciones tarifarias.</w:t>
      </w:r>
    </w:p>
    <w:p w14:paraId="2EFB8214" w14:textId="77777777" w:rsidR="006448EF" w:rsidRPr="00BF66CB" w:rsidRDefault="006448EF" w:rsidP="00BF66CB">
      <w:pPr>
        <w:autoSpaceDE w:val="0"/>
        <w:autoSpaceDN w:val="0"/>
        <w:adjustRightInd w:val="0"/>
        <w:spacing w:after="0" w:line="271" w:lineRule="auto"/>
        <w:ind w:left="426"/>
        <w:jc w:val="both"/>
        <w:rPr>
          <w:rFonts w:ascii="Arial Narrow" w:hAnsi="Arial Narrow" w:cs="ArialMT"/>
        </w:rPr>
      </w:pPr>
    </w:p>
    <w:p w14:paraId="077F069E" w14:textId="23BF45CA" w:rsidR="00F943D9" w:rsidRDefault="008F0780" w:rsidP="00BF66CB">
      <w:pPr>
        <w:numPr>
          <w:ilvl w:val="0"/>
          <w:numId w:val="2"/>
        </w:numPr>
        <w:autoSpaceDE w:val="0"/>
        <w:autoSpaceDN w:val="0"/>
        <w:adjustRightInd w:val="0"/>
        <w:spacing w:after="0" w:line="271" w:lineRule="auto"/>
        <w:ind w:left="426"/>
        <w:jc w:val="both"/>
        <w:rPr>
          <w:rFonts w:ascii="Arial Narrow" w:hAnsi="Arial Narrow" w:cs="ArialMT"/>
        </w:rPr>
      </w:pPr>
      <w:r w:rsidRPr="00BF66CB">
        <w:rPr>
          <w:rFonts w:ascii="Arial Narrow" w:hAnsi="Arial Narrow" w:cs="ArialMT"/>
        </w:rPr>
        <w:t xml:space="preserve">Que mediante </w:t>
      </w:r>
      <w:r w:rsidR="00CE0D24" w:rsidRPr="00BF66CB">
        <w:rPr>
          <w:rFonts w:ascii="Arial Narrow" w:hAnsi="Arial Narrow" w:cs="ArialMT"/>
        </w:rPr>
        <w:t xml:space="preserve">la </w:t>
      </w:r>
      <w:r w:rsidR="003D5EA3" w:rsidRPr="00BF66CB">
        <w:rPr>
          <w:rFonts w:ascii="Arial Narrow" w:hAnsi="Arial Narrow" w:cs="ArialMT"/>
        </w:rPr>
        <w:t xml:space="preserve">sesión </w:t>
      </w:r>
      <w:r w:rsidR="00831659" w:rsidRPr="00BF66CB">
        <w:rPr>
          <w:rFonts w:ascii="Arial Narrow" w:hAnsi="Arial Narrow" w:cs="ArialMT"/>
        </w:rPr>
        <w:t xml:space="preserve">No. 177 </w:t>
      </w:r>
      <w:r w:rsidR="003D5EA3" w:rsidRPr="00BF66CB">
        <w:rPr>
          <w:rFonts w:ascii="Arial Narrow" w:hAnsi="Arial Narrow" w:cs="ArialMT"/>
        </w:rPr>
        <w:t xml:space="preserve">de </w:t>
      </w:r>
      <w:r w:rsidR="00CE0D24" w:rsidRPr="00BF66CB">
        <w:rPr>
          <w:rFonts w:ascii="Arial Narrow" w:hAnsi="Arial Narrow" w:cs="ArialMT"/>
        </w:rPr>
        <w:t xml:space="preserve">Junta Directiva llevada a cabo el </w:t>
      </w:r>
      <w:r w:rsidR="000136B2" w:rsidRPr="00BF66CB">
        <w:rPr>
          <w:rFonts w:ascii="Arial Narrow" w:hAnsi="Arial Narrow" w:cs="ArialMT"/>
        </w:rPr>
        <w:t>19</w:t>
      </w:r>
      <w:r w:rsidR="005B3ED0" w:rsidRPr="00BF66CB">
        <w:rPr>
          <w:rFonts w:ascii="Arial Narrow" w:hAnsi="Arial Narrow" w:cs="ArialMT"/>
        </w:rPr>
        <w:t xml:space="preserve"> de </w:t>
      </w:r>
      <w:r w:rsidR="000136B2" w:rsidRPr="00BF66CB">
        <w:rPr>
          <w:rFonts w:ascii="Arial Narrow" w:hAnsi="Arial Narrow" w:cs="ArialMT"/>
        </w:rPr>
        <w:t>noviembre</w:t>
      </w:r>
      <w:r w:rsidR="005B3ED0" w:rsidRPr="00BF66CB">
        <w:rPr>
          <w:rFonts w:ascii="Arial Narrow" w:hAnsi="Arial Narrow" w:cs="ArialMT"/>
        </w:rPr>
        <w:t xml:space="preserve"> de 2020</w:t>
      </w:r>
      <w:r w:rsidR="00CE0D24" w:rsidRPr="00BF66CB">
        <w:rPr>
          <w:rFonts w:ascii="Arial Narrow" w:hAnsi="Arial Narrow" w:cs="ArialMT"/>
        </w:rPr>
        <w:t xml:space="preserve">, se aprobó aplicar un incremento </w:t>
      </w:r>
      <w:r w:rsidR="004A51B5" w:rsidRPr="00BF66CB">
        <w:rPr>
          <w:rFonts w:ascii="Arial Narrow" w:hAnsi="Arial Narrow" w:cs="ArialMT"/>
        </w:rPr>
        <w:t xml:space="preserve">porcentual (%) </w:t>
      </w:r>
      <w:r w:rsidR="00E373C8" w:rsidRPr="00BF66CB">
        <w:rPr>
          <w:rFonts w:ascii="Arial Narrow" w:hAnsi="Arial Narrow" w:cs="ArialMT"/>
        </w:rPr>
        <w:t>en el componente C</w:t>
      </w:r>
      <w:r w:rsidR="000400E2" w:rsidRPr="00BF66CB">
        <w:rPr>
          <w:rFonts w:ascii="Arial Narrow" w:hAnsi="Arial Narrow" w:cs="ArialMT"/>
        </w:rPr>
        <w:t xml:space="preserve">osto </w:t>
      </w:r>
      <w:r w:rsidR="00E373C8" w:rsidRPr="00BF66CB">
        <w:rPr>
          <w:rFonts w:ascii="Arial Narrow" w:hAnsi="Arial Narrow" w:cs="ArialMT"/>
        </w:rPr>
        <w:t>M</w:t>
      </w:r>
      <w:r w:rsidR="000400E2" w:rsidRPr="00BF66CB">
        <w:rPr>
          <w:rFonts w:ascii="Arial Narrow" w:hAnsi="Arial Narrow" w:cs="ArialMT"/>
        </w:rPr>
        <w:t xml:space="preserve">edio de </w:t>
      </w:r>
      <w:r w:rsidR="00E373C8" w:rsidRPr="00BF66CB">
        <w:rPr>
          <w:rFonts w:ascii="Arial Narrow" w:hAnsi="Arial Narrow" w:cs="ArialMT"/>
        </w:rPr>
        <w:t>O</w:t>
      </w:r>
      <w:r w:rsidR="000400E2" w:rsidRPr="00BF66CB">
        <w:rPr>
          <w:rFonts w:ascii="Arial Narrow" w:hAnsi="Arial Narrow" w:cs="ArialMT"/>
        </w:rPr>
        <w:t xml:space="preserve">peración e </w:t>
      </w:r>
      <w:r w:rsidR="00E373C8" w:rsidRPr="00BF66CB">
        <w:rPr>
          <w:rFonts w:ascii="Arial Narrow" w:hAnsi="Arial Narrow" w:cs="ArialMT"/>
        </w:rPr>
        <w:t>I</w:t>
      </w:r>
      <w:r w:rsidR="000400E2" w:rsidRPr="00BF66CB">
        <w:rPr>
          <w:rFonts w:ascii="Arial Narrow" w:hAnsi="Arial Narrow" w:cs="ArialMT"/>
        </w:rPr>
        <w:t>nversión - CMOI</w:t>
      </w:r>
      <w:r w:rsidR="00E373C8" w:rsidRPr="00BF66CB">
        <w:rPr>
          <w:rFonts w:ascii="Arial Narrow" w:hAnsi="Arial Narrow" w:cs="ArialMT"/>
        </w:rPr>
        <w:t xml:space="preserve"> </w:t>
      </w:r>
      <w:r w:rsidR="00CE0D24" w:rsidRPr="00BF66CB">
        <w:rPr>
          <w:rFonts w:ascii="Arial Narrow" w:hAnsi="Arial Narrow" w:cs="ArialMT"/>
        </w:rPr>
        <w:t xml:space="preserve">en las áreas de prestación de </w:t>
      </w:r>
      <w:r w:rsidR="00CC337D" w:rsidRPr="00BF66CB">
        <w:rPr>
          <w:rFonts w:ascii="Arial Narrow" w:hAnsi="Arial Narrow" w:cs="ArialMT"/>
        </w:rPr>
        <w:t>Carepa</w:t>
      </w:r>
      <w:r w:rsidR="004A51B5" w:rsidRPr="00BF66CB">
        <w:rPr>
          <w:rFonts w:ascii="Arial Narrow" w:hAnsi="Arial Narrow" w:cs="ArialMT"/>
        </w:rPr>
        <w:t xml:space="preserve"> (40%</w:t>
      </w:r>
      <w:r w:rsidR="00831659" w:rsidRPr="00BF66CB">
        <w:rPr>
          <w:rFonts w:ascii="Arial Narrow" w:hAnsi="Arial Narrow" w:cs="ArialMT"/>
        </w:rPr>
        <w:t xml:space="preserve"> de su valor máximo</w:t>
      </w:r>
      <w:r w:rsidR="004A51B5" w:rsidRPr="00BF66CB">
        <w:rPr>
          <w:rFonts w:ascii="Arial Narrow" w:hAnsi="Arial Narrow" w:cs="ArialMT"/>
        </w:rPr>
        <w:t>)</w:t>
      </w:r>
      <w:r w:rsidR="00CC337D" w:rsidRPr="00BF66CB">
        <w:rPr>
          <w:rFonts w:ascii="Arial Narrow" w:hAnsi="Arial Narrow" w:cs="ArialMT"/>
        </w:rPr>
        <w:t>, Turbo</w:t>
      </w:r>
      <w:r w:rsidR="004A51B5" w:rsidRPr="00BF66CB">
        <w:rPr>
          <w:rFonts w:ascii="Arial Narrow" w:hAnsi="Arial Narrow" w:cs="ArialMT"/>
        </w:rPr>
        <w:t xml:space="preserve"> (llega al 100% de su </w:t>
      </w:r>
      <w:r w:rsidR="00E373C8" w:rsidRPr="00BF66CB">
        <w:rPr>
          <w:rFonts w:ascii="Arial Narrow" w:hAnsi="Arial Narrow" w:cs="ArialMT"/>
        </w:rPr>
        <w:t>valor</w:t>
      </w:r>
      <w:r w:rsidR="004A51B5" w:rsidRPr="00BF66CB">
        <w:rPr>
          <w:rFonts w:ascii="Arial Narrow" w:hAnsi="Arial Narrow" w:cs="ArialMT"/>
        </w:rPr>
        <w:t xml:space="preserve"> máxim</w:t>
      </w:r>
      <w:r w:rsidR="00E373C8" w:rsidRPr="00BF66CB">
        <w:rPr>
          <w:rFonts w:ascii="Arial Narrow" w:hAnsi="Arial Narrow" w:cs="ArialMT"/>
        </w:rPr>
        <w:t>o</w:t>
      </w:r>
      <w:r w:rsidR="004A51B5" w:rsidRPr="00BF66CB">
        <w:rPr>
          <w:rFonts w:ascii="Arial Narrow" w:hAnsi="Arial Narrow" w:cs="ArialMT"/>
        </w:rPr>
        <w:t>)</w:t>
      </w:r>
      <w:r w:rsidR="00CC337D" w:rsidRPr="00BF66CB">
        <w:rPr>
          <w:rFonts w:ascii="Arial Narrow" w:hAnsi="Arial Narrow" w:cs="ArialMT"/>
        </w:rPr>
        <w:t>, Mutatá</w:t>
      </w:r>
      <w:r w:rsidR="004A51B5" w:rsidRPr="00BF66CB">
        <w:rPr>
          <w:rFonts w:ascii="Arial Narrow" w:hAnsi="Arial Narrow" w:cs="ArialMT"/>
        </w:rPr>
        <w:t xml:space="preserve"> (30%)</w:t>
      </w:r>
      <w:r w:rsidR="00CC337D" w:rsidRPr="00BF66CB">
        <w:rPr>
          <w:rFonts w:ascii="Arial Narrow" w:hAnsi="Arial Narrow" w:cs="ArialMT"/>
        </w:rPr>
        <w:t>, Olaya</w:t>
      </w:r>
      <w:r w:rsidR="004A51B5" w:rsidRPr="00BF66CB">
        <w:rPr>
          <w:rFonts w:ascii="Arial Narrow" w:hAnsi="Arial Narrow" w:cs="ArialMT"/>
        </w:rPr>
        <w:t xml:space="preserve"> (40%</w:t>
      </w:r>
      <w:r w:rsidR="00831659" w:rsidRPr="00BF66CB">
        <w:rPr>
          <w:rFonts w:ascii="Arial Narrow" w:hAnsi="Arial Narrow" w:cs="ArialMT"/>
        </w:rPr>
        <w:t xml:space="preserve"> de su valor máximo</w:t>
      </w:r>
      <w:r w:rsidR="004A51B5" w:rsidRPr="00BF66CB">
        <w:rPr>
          <w:rFonts w:ascii="Arial Narrow" w:hAnsi="Arial Narrow" w:cs="ArialMT"/>
        </w:rPr>
        <w:t>)</w:t>
      </w:r>
      <w:r w:rsidR="00CC337D" w:rsidRPr="00BF66CB">
        <w:rPr>
          <w:rFonts w:ascii="Arial Narrow" w:hAnsi="Arial Narrow" w:cs="ArialMT"/>
        </w:rPr>
        <w:t xml:space="preserve">, San Jerónimo </w:t>
      </w:r>
      <w:r w:rsidR="004A51B5" w:rsidRPr="00BF66CB">
        <w:rPr>
          <w:rFonts w:ascii="Arial Narrow" w:hAnsi="Arial Narrow" w:cs="ArialMT"/>
        </w:rPr>
        <w:t>(30%</w:t>
      </w:r>
      <w:r w:rsidR="00831659" w:rsidRPr="00BF66CB">
        <w:rPr>
          <w:rFonts w:ascii="Arial Narrow" w:hAnsi="Arial Narrow" w:cs="ArialMT"/>
        </w:rPr>
        <w:t xml:space="preserve"> de su valor máximo</w:t>
      </w:r>
      <w:r w:rsidR="004A51B5" w:rsidRPr="00BF66CB">
        <w:rPr>
          <w:rFonts w:ascii="Arial Narrow" w:hAnsi="Arial Narrow" w:cs="ArialMT"/>
        </w:rPr>
        <w:t xml:space="preserve">) </w:t>
      </w:r>
      <w:r w:rsidR="00CC337D" w:rsidRPr="00BF66CB">
        <w:rPr>
          <w:rFonts w:ascii="Arial Narrow" w:hAnsi="Arial Narrow" w:cs="ArialMT"/>
        </w:rPr>
        <w:t>y Sopetrá</w:t>
      </w:r>
      <w:r w:rsidR="005334FB" w:rsidRPr="00BF66CB">
        <w:rPr>
          <w:rFonts w:ascii="Arial Narrow" w:hAnsi="Arial Narrow" w:cs="ArialMT"/>
        </w:rPr>
        <w:t>n</w:t>
      </w:r>
      <w:r w:rsidR="004A51B5" w:rsidRPr="00BF66CB">
        <w:rPr>
          <w:rFonts w:ascii="Arial Narrow" w:hAnsi="Arial Narrow" w:cs="ArialMT"/>
        </w:rPr>
        <w:t xml:space="preserve"> (30%</w:t>
      </w:r>
      <w:r w:rsidR="00831659" w:rsidRPr="00BF66CB">
        <w:rPr>
          <w:rFonts w:ascii="Arial Narrow" w:hAnsi="Arial Narrow" w:cs="ArialMT"/>
        </w:rPr>
        <w:t xml:space="preserve"> de su valor máximo</w:t>
      </w:r>
      <w:r w:rsidR="004A51B5" w:rsidRPr="00BF66CB">
        <w:rPr>
          <w:rFonts w:ascii="Arial Narrow" w:hAnsi="Arial Narrow" w:cs="ArialMT"/>
        </w:rPr>
        <w:t>)</w:t>
      </w:r>
      <w:r w:rsidR="00022BB1" w:rsidRPr="00BF66CB">
        <w:rPr>
          <w:rFonts w:ascii="Arial Narrow" w:hAnsi="Arial Narrow" w:cs="ArialMT"/>
        </w:rPr>
        <w:t xml:space="preserve"> en los servicios que</w:t>
      </w:r>
      <w:r w:rsidR="00CE0D24" w:rsidRPr="00BF66CB">
        <w:rPr>
          <w:rFonts w:ascii="Arial Narrow" w:hAnsi="Arial Narrow" w:cs="ArialMT"/>
        </w:rPr>
        <w:t xml:space="preserve"> están aplicando tarifa por debajo de las máximas</w:t>
      </w:r>
      <w:r w:rsidR="008F68F0" w:rsidRPr="00BF66CB">
        <w:rPr>
          <w:rFonts w:ascii="Arial Narrow" w:hAnsi="Arial Narrow" w:cs="ArialMT"/>
        </w:rPr>
        <w:t>, estos incrementos no podrán superar las tarifas máximas</w:t>
      </w:r>
      <w:r w:rsidR="005B3ED0" w:rsidRPr="00BF66CB">
        <w:rPr>
          <w:rFonts w:ascii="Arial Narrow" w:hAnsi="Arial Narrow" w:cs="ArialMT"/>
        </w:rPr>
        <w:t>. Este incremento</w:t>
      </w:r>
      <w:r w:rsidR="00F943D9" w:rsidRPr="00BF66CB">
        <w:rPr>
          <w:rFonts w:ascii="Arial Narrow" w:hAnsi="Arial Narrow" w:cs="ArialMT"/>
        </w:rPr>
        <w:t xml:space="preserve"> se aprobó sobre la diferencia que presentaba la tarifa techo aprobada en la Resolución No. 20200910002480 – 28 de 29 de septiembre de 2020 actualizados a pesos de enero 2020, con respecto a la tarifa </w:t>
      </w:r>
      <w:r w:rsidR="0053091E" w:rsidRPr="00BF66CB">
        <w:rPr>
          <w:rFonts w:ascii="Arial Narrow" w:hAnsi="Arial Narrow" w:cs="ArialMT"/>
        </w:rPr>
        <w:t>que se estimaba estaría aplicada en el mes de enero de 2021, con el último incremento del IPC del 3.02%.</w:t>
      </w:r>
    </w:p>
    <w:p w14:paraId="3A4BD8B6" w14:textId="77777777" w:rsidR="00107CAE" w:rsidRDefault="00107CAE" w:rsidP="00107CAE">
      <w:pPr>
        <w:pStyle w:val="Prrafodelista"/>
        <w:rPr>
          <w:rFonts w:ascii="Arial Narrow" w:hAnsi="Arial Narrow" w:cs="ArialMT"/>
        </w:rPr>
      </w:pPr>
    </w:p>
    <w:p w14:paraId="197BB7EE" w14:textId="77777777" w:rsidR="00107CAE" w:rsidRPr="00BF66CB" w:rsidRDefault="00107CAE" w:rsidP="00107CAE">
      <w:pPr>
        <w:autoSpaceDE w:val="0"/>
        <w:autoSpaceDN w:val="0"/>
        <w:adjustRightInd w:val="0"/>
        <w:spacing w:after="0" w:line="271" w:lineRule="auto"/>
        <w:jc w:val="both"/>
        <w:rPr>
          <w:rFonts w:ascii="Arial Narrow" w:hAnsi="Arial Narrow" w:cs="ArialMT"/>
        </w:rPr>
      </w:pPr>
    </w:p>
    <w:p w14:paraId="5834AD11" w14:textId="77777777" w:rsidR="002F2EBF" w:rsidRPr="002F2EBF" w:rsidRDefault="002F2EBF" w:rsidP="002F2EBF">
      <w:pPr>
        <w:autoSpaceDE w:val="0"/>
        <w:autoSpaceDN w:val="0"/>
        <w:adjustRightInd w:val="0"/>
        <w:spacing w:after="0" w:line="271" w:lineRule="auto"/>
        <w:jc w:val="both"/>
        <w:rPr>
          <w:rFonts w:ascii="Arial Narrow" w:eastAsia="Times New Roman" w:hAnsi="Arial Narrow" w:cs="Arial"/>
          <w:highlight w:val="yellow"/>
          <w:lang w:val="es-ES" w:eastAsia="es-ES"/>
        </w:rPr>
      </w:pPr>
    </w:p>
    <w:tbl>
      <w:tblPr>
        <w:tblW w:w="7256" w:type="dxa"/>
        <w:jc w:val="center"/>
        <w:tblCellMar>
          <w:left w:w="70" w:type="dxa"/>
          <w:right w:w="70" w:type="dxa"/>
        </w:tblCellMar>
        <w:tblLook w:val="04A0" w:firstRow="1" w:lastRow="0" w:firstColumn="1" w:lastColumn="0" w:noHBand="0" w:noVBand="1"/>
      </w:tblPr>
      <w:tblGrid>
        <w:gridCol w:w="1520"/>
        <w:gridCol w:w="1361"/>
        <w:gridCol w:w="1561"/>
        <w:gridCol w:w="1407"/>
        <w:gridCol w:w="1407"/>
      </w:tblGrid>
      <w:tr w:rsidR="00CA0F6F" w:rsidRPr="00CA0F6F" w14:paraId="0F9A36DE" w14:textId="77777777" w:rsidTr="00CA0F6F">
        <w:trPr>
          <w:trHeight w:val="279"/>
          <w:jc w:val="center"/>
        </w:trPr>
        <w:tc>
          <w:tcPr>
            <w:tcW w:w="1520" w:type="dxa"/>
            <w:vMerge w:val="restart"/>
            <w:tcBorders>
              <w:top w:val="single" w:sz="4" w:space="0" w:color="FFFFFF"/>
              <w:left w:val="single" w:sz="4" w:space="0" w:color="FFFFFF"/>
              <w:bottom w:val="single" w:sz="4" w:space="0" w:color="FFFFFF"/>
              <w:right w:val="single" w:sz="4" w:space="0" w:color="FFFFFF"/>
            </w:tcBorders>
            <w:shd w:val="clear" w:color="000000" w:fill="A6A6A6"/>
            <w:noWrap/>
            <w:vAlign w:val="center"/>
            <w:hideMark/>
          </w:tcPr>
          <w:p w14:paraId="33DF5CDF" w14:textId="77777777" w:rsidR="00CA0F6F" w:rsidRPr="00CA0F6F" w:rsidRDefault="00CA0F6F" w:rsidP="00CA0F6F">
            <w:pPr>
              <w:spacing w:after="0" w:line="240" w:lineRule="auto"/>
              <w:jc w:val="center"/>
              <w:rPr>
                <w:rFonts w:ascii="Calibri" w:eastAsia="Times New Roman" w:hAnsi="Calibri" w:cs="Calibri"/>
                <w:b/>
                <w:bCs/>
                <w:color w:val="FFFFFF"/>
                <w:lang w:eastAsia="es-CO"/>
              </w:rPr>
            </w:pPr>
            <w:r w:rsidRPr="00CA0F6F">
              <w:rPr>
                <w:rFonts w:ascii="Calibri" w:eastAsia="Times New Roman" w:hAnsi="Calibri" w:cs="Calibri"/>
                <w:b/>
                <w:bCs/>
                <w:color w:val="FFFFFF"/>
                <w:lang w:eastAsia="es-CO"/>
              </w:rPr>
              <w:lastRenderedPageBreak/>
              <w:t>Municipio</w:t>
            </w:r>
          </w:p>
        </w:tc>
        <w:tc>
          <w:tcPr>
            <w:tcW w:w="1361" w:type="dxa"/>
            <w:vMerge w:val="restart"/>
            <w:tcBorders>
              <w:top w:val="single" w:sz="4" w:space="0" w:color="FFFFFF"/>
              <w:left w:val="single" w:sz="4" w:space="0" w:color="FFFFFF"/>
              <w:bottom w:val="single" w:sz="4" w:space="0" w:color="FFFFFF"/>
              <w:right w:val="single" w:sz="4" w:space="0" w:color="FFFFFF"/>
            </w:tcBorders>
            <w:shd w:val="clear" w:color="000000" w:fill="A6A6A6"/>
            <w:noWrap/>
            <w:vAlign w:val="center"/>
            <w:hideMark/>
          </w:tcPr>
          <w:p w14:paraId="1AFA95E1" w14:textId="77777777" w:rsidR="00CA0F6F" w:rsidRPr="00CA0F6F" w:rsidRDefault="00CA0F6F" w:rsidP="00CA0F6F">
            <w:pPr>
              <w:spacing w:after="0" w:line="240" w:lineRule="auto"/>
              <w:jc w:val="center"/>
              <w:rPr>
                <w:rFonts w:ascii="Calibri" w:eastAsia="Times New Roman" w:hAnsi="Calibri" w:cs="Calibri"/>
                <w:b/>
                <w:bCs/>
                <w:color w:val="FFFFFF"/>
                <w:lang w:eastAsia="es-CO"/>
              </w:rPr>
            </w:pPr>
            <w:r w:rsidRPr="00CA0F6F">
              <w:rPr>
                <w:rFonts w:ascii="Calibri" w:eastAsia="Times New Roman" w:hAnsi="Calibri" w:cs="Calibri"/>
                <w:b/>
                <w:bCs/>
                <w:color w:val="FFFFFF"/>
                <w:lang w:eastAsia="es-CO"/>
              </w:rPr>
              <w:t>%</w:t>
            </w:r>
          </w:p>
        </w:tc>
        <w:tc>
          <w:tcPr>
            <w:tcW w:w="1561" w:type="dxa"/>
            <w:vMerge w:val="restart"/>
            <w:tcBorders>
              <w:top w:val="single" w:sz="4" w:space="0" w:color="FFFFFF"/>
              <w:left w:val="single" w:sz="4" w:space="0" w:color="FFFFFF"/>
              <w:bottom w:val="single" w:sz="4" w:space="0" w:color="FFFFFF"/>
              <w:right w:val="single" w:sz="4" w:space="0" w:color="FFFFFF"/>
            </w:tcBorders>
            <w:shd w:val="clear" w:color="000000" w:fill="A6A6A6"/>
            <w:noWrap/>
            <w:vAlign w:val="center"/>
            <w:hideMark/>
          </w:tcPr>
          <w:p w14:paraId="1A549B6D" w14:textId="77777777" w:rsidR="00CA0F6F" w:rsidRPr="00CA0F6F" w:rsidRDefault="00CA0F6F" w:rsidP="00CA0F6F">
            <w:pPr>
              <w:spacing w:after="0" w:line="240" w:lineRule="auto"/>
              <w:jc w:val="center"/>
              <w:rPr>
                <w:rFonts w:ascii="Calibri" w:eastAsia="Times New Roman" w:hAnsi="Calibri" w:cs="Calibri"/>
                <w:b/>
                <w:bCs/>
                <w:color w:val="FFFFFF"/>
                <w:lang w:eastAsia="es-CO"/>
              </w:rPr>
            </w:pPr>
            <w:r w:rsidRPr="00CA0F6F">
              <w:rPr>
                <w:rFonts w:ascii="Calibri" w:eastAsia="Times New Roman" w:hAnsi="Calibri" w:cs="Calibri"/>
                <w:b/>
                <w:bCs/>
                <w:color w:val="FFFFFF"/>
                <w:lang w:eastAsia="es-CO"/>
              </w:rPr>
              <w:t>Servicio</w:t>
            </w:r>
          </w:p>
        </w:tc>
        <w:tc>
          <w:tcPr>
            <w:tcW w:w="2814" w:type="dxa"/>
            <w:gridSpan w:val="2"/>
            <w:tcBorders>
              <w:top w:val="single" w:sz="4" w:space="0" w:color="FFFFFF"/>
              <w:left w:val="nil"/>
              <w:bottom w:val="single" w:sz="4" w:space="0" w:color="FFFFFF"/>
              <w:right w:val="single" w:sz="4" w:space="0" w:color="FFFFFF"/>
            </w:tcBorders>
            <w:shd w:val="clear" w:color="000000" w:fill="A6A6A6"/>
            <w:vAlign w:val="center"/>
            <w:hideMark/>
          </w:tcPr>
          <w:p w14:paraId="3ADB7166" w14:textId="77777777" w:rsidR="00CA0F6F" w:rsidRPr="00CA0F6F" w:rsidRDefault="00CA0F6F" w:rsidP="00CA0F6F">
            <w:pPr>
              <w:spacing w:after="0" w:line="240" w:lineRule="auto"/>
              <w:jc w:val="center"/>
              <w:rPr>
                <w:rFonts w:ascii="Calibri" w:eastAsia="Times New Roman" w:hAnsi="Calibri" w:cs="Calibri"/>
                <w:b/>
                <w:bCs/>
                <w:color w:val="FFFFFF"/>
                <w:lang w:eastAsia="es-CO"/>
              </w:rPr>
            </w:pPr>
            <w:r w:rsidRPr="00CA0F6F">
              <w:rPr>
                <w:rFonts w:ascii="Calibri" w:eastAsia="Times New Roman" w:hAnsi="Calibri" w:cs="Calibri"/>
                <w:b/>
                <w:bCs/>
                <w:color w:val="FFFFFF"/>
                <w:lang w:eastAsia="es-CO"/>
              </w:rPr>
              <w:t xml:space="preserve"> Aprobación Senda </w:t>
            </w:r>
          </w:p>
        </w:tc>
      </w:tr>
      <w:tr w:rsidR="00CA0F6F" w:rsidRPr="00CA0F6F" w14:paraId="0D4EAAFB" w14:textId="77777777" w:rsidTr="00CA0F6F">
        <w:trPr>
          <w:trHeight w:val="136"/>
          <w:jc w:val="center"/>
        </w:trPr>
        <w:tc>
          <w:tcPr>
            <w:tcW w:w="1520" w:type="dxa"/>
            <w:vMerge/>
            <w:tcBorders>
              <w:top w:val="single" w:sz="4" w:space="0" w:color="FFFFFF"/>
              <w:left w:val="single" w:sz="4" w:space="0" w:color="FFFFFF"/>
              <w:bottom w:val="single" w:sz="4" w:space="0" w:color="FFFFFF"/>
              <w:right w:val="single" w:sz="4" w:space="0" w:color="FFFFFF"/>
            </w:tcBorders>
            <w:vAlign w:val="center"/>
            <w:hideMark/>
          </w:tcPr>
          <w:p w14:paraId="2A3789D6" w14:textId="77777777" w:rsidR="00CA0F6F" w:rsidRPr="00CA0F6F" w:rsidRDefault="00CA0F6F" w:rsidP="00CA0F6F">
            <w:pPr>
              <w:spacing w:after="0" w:line="240" w:lineRule="auto"/>
              <w:rPr>
                <w:rFonts w:ascii="Calibri" w:eastAsia="Times New Roman" w:hAnsi="Calibri" w:cs="Calibri"/>
                <w:b/>
                <w:bCs/>
                <w:color w:val="FFFFFF"/>
                <w:lang w:eastAsia="es-CO"/>
              </w:rPr>
            </w:pPr>
          </w:p>
        </w:tc>
        <w:tc>
          <w:tcPr>
            <w:tcW w:w="1361" w:type="dxa"/>
            <w:vMerge/>
            <w:tcBorders>
              <w:top w:val="single" w:sz="4" w:space="0" w:color="FFFFFF"/>
              <w:left w:val="single" w:sz="4" w:space="0" w:color="FFFFFF"/>
              <w:bottom w:val="single" w:sz="4" w:space="0" w:color="FFFFFF"/>
              <w:right w:val="single" w:sz="4" w:space="0" w:color="FFFFFF"/>
            </w:tcBorders>
            <w:vAlign w:val="center"/>
            <w:hideMark/>
          </w:tcPr>
          <w:p w14:paraId="2FAFB082" w14:textId="77777777" w:rsidR="00CA0F6F" w:rsidRPr="00CA0F6F" w:rsidRDefault="00CA0F6F" w:rsidP="00CA0F6F">
            <w:pPr>
              <w:spacing w:after="0" w:line="240" w:lineRule="auto"/>
              <w:rPr>
                <w:rFonts w:ascii="Calibri" w:eastAsia="Times New Roman" w:hAnsi="Calibri" w:cs="Calibri"/>
                <w:b/>
                <w:bCs/>
                <w:color w:val="FFFFFF"/>
                <w:lang w:eastAsia="es-CO"/>
              </w:rPr>
            </w:pPr>
          </w:p>
        </w:tc>
        <w:tc>
          <w:tcPr>
            <w:tcW w:w="1561" w:type="dxa"/>
            <w:vMerge/>
            <w:tcBorders>
              <w:top w:val="single" w:sz="4" w:space="0" w:color="FFFFFF"/>
              <w:left w:val="single" w:sz="4" w:space="0" w:color="FFFFFF"/>
              <w:bottom w:val="single" w:sz="4" w:space="0" w:color="FFFFFF"/>
              <w:right w:val="single" w:sz="4" w:space="0" w:color="FFFFFF"/>
            </w:tcBorders>
            <w:vAlign w:val="center"/>
            <w:hideMark/>
          </w:tcPr>
          <w:p w14:paraId="021335EF" w14:textId="77777777" w:rsidR="00CA0F6F" w:rsidRPr="00CA0F6F" w:rsidRDefault="00CA0F6F" w:rsidP="00CA0F6F">
            <w:pPr>
              <w:spacing w:after="0" w:line="240" w:lineRule="auto"/>
              <w:rPr>
                <w:rFonts w:ascii="Calibri" w:eastAsia="Times New Roman" w:hAnsi="Calibri" w:cs="Calibri"/>
                <w:b/>
                <w:bCs/>
                <w:color w:val="FFFFFF"/>
                <w:lang w:eastAsia="es-CO"/>
              </w:rPr>
            </w:pPr>
          </w:p>
        </w:tc>
        <w:tc>
          <w:tcPr>
            <w:tcW w:w="1407" w:type="dxa"/>
            <w:tcBorders>
              <w:top w:val="nil"/>
              <w:left w:val="nil"/>
              <w:bottom w:val="single" w:sz="4" w:space="0" w:color="FFFFFF"/>
              <w:right w:val="single" w:sz="4" w:space="0" w:color="FFFFFF"/>
            </w:tcBorders>
            <w:shd w:val="clear" w:color="000000" w:fill="A6A6A6"/>
            <w:vAlign w:val="center"/>
            <w:hideMark/>
          </w:tcPr>
          <w:p w14:paraId="3608C8F9" w14:textId="77777777" w:rsidR="00CA0F6F" w:rsidRPr="00CA0F6F" w:rsidRDefault="00CA0F6F" w:rsidP="00CA0F6F">
            <w:pPr>
              <w:spacing w:after="0" w:line="240" w:lineRule="auto"/>
              <w:jc w:val="center"/>
              <w:rPr>
                <w:rFonts w:ascii="Calibri" w:eastAsia="Times New Roman" w:hAnsi="Calibri" w:cs="Calibri"/>
                <w:b/>
                <w:bCs/>
                <w:color w:val="FFFFFF"/>
                <w:lang w:eastAsia="es-CO"/>
              </w:rPr>
            </w:pPr>
            <w:r w:rsidRPr="00CA0F6F">
              <w:rPr>
                <w:rFonts w:ascii="Calibri" w:eastAsia="Times New Roman" w:hAnsi="Calibri" w:cs="Calibri"/>
                <w:b/>
                <w:bCs/>
                <w:color w:val="FFFFFF"/>
                <w:lang w:eastAsia="es-CO"/>
              </w:rPr>
              <w:t xml:space="preserve"> CMO </w:t>
            </w:r>
          </w:p>
        </w:tc>
        <w:tc>
          <w:tcPr>
            <w:tcW w:w="1407" w:type="dxa"/>
            <w:tcBorders>
              <w:top w:val="nil"/>
              <w:left w:val="nil"/>
              <w:bottom w:val="single" w:sz="4" w:space="0" w:color="FFFFFF"/>
              <w:right w:val="single" w:sz="4" w:space="0" w:color="FFFFFF"/>
            </w:tcBorders>
            <w:shd w:val="clear" w:color="000000" w:fill="A6A6A6"/>
            <w:vAlign w:val="center"/>
            <w:hideMark/>
          </w:tcPr>
          <w:p w14:paraId="0A12C650" w14:textId="77777777" w:rsidR="00CA0F6F" w:rsidRPr="00CA0F6F" w:rsidRDefault="00CA0F6F" w:rsidP="00CA0F6F">
            <w:pPr>
              <w:spacing w:after="0" w:line="240" w:lineRule="auto"/>
              <w:jc w:val="center"/>
              <w:rPr>
                <w:rFonts w:ascii="Calibri" w:eastAsia="Times New Roman" w:hAnsi="Calibri" w:cs="Calibri"/>
                <w:b/>
                <w:bCs/>
                <w:color w:val="FFFFFF"/>
                <w:lang w:eastAsia="es-CO"/>
              </w:rPr>
            </w:pPr>
            <w:r w:rsidRPr="00CA0F6F">
              <w:rPr>
                <w:rFonts w:ascii="Calibri" w:eastAsia="Times New Roman" w:hAnsi="Calibri" w:cs="Calibri"/>
                <w:b/>
                <w:bCs/>
                <w:color w:val="FFFFFF"/>
                <w:lang w:eastAsia="es-CO"/>
              </w:rPr>
              <w:t xml:space="preserve"> CMI </w:t>
            </w:r>
          </w:p>
        </w:tc>
      </w:tr>
      <w:tr w:rsidR="00CA0F6F" w:rsidRPr="00CA0F6F" w14:paraId="7E773D5C" w14:textId="77777777" w:rsidTr="00CA0F6F">
        <w:trPr>
          <w:trHeight w:val="159"/>
          <w:jc w:val="center"/>
        </w:trPr>
        <w:tc>
          <w:tcPr>
            <w:tcW w:w="1520"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1E021057" w14:textId="77777777" w:rsidR="00CA0F6F" w:rsidRPr="00CA0F6F" w:rsidRDefault="00CA0F6F" w:rsidP="00CA0F6F">
            <w:pPr>
              <w:spacing w:after="0" w:line="240" w:lineRule="auto"/>
              <w:rPr>
                <w:rFonts w:ascii="Calibri" w:eastAsia="Times New Roman" w:hAnsi="Calibri" w:cs="Calibri"/>
                <w:b/>
                <w:bCs/>
                <w:color w:val="000000"/>
                <w:lang w:eastAsia="es-CO"/>
              </w:rPr>
            </w:pPr>
            <w:r w:rsidRPr="00CA0F6F">
              <w:rPr>
                <w:rFonts w:ascii="Calibri" w:eastAsia="Times New Roman" w:hAnsi="Calibri" w:cs="Calibri"/>
                <w:b/>
                <w:bCs/>
                <w:color w:val="000000"/>
                <w:lang w:eastAsia="es-CO"/>
              </w:rPr>
              <w:t>Carepa</w:t>
            </w:r>
          </w:p>
        </w:tc>
        <w:tc>
          <w:tcPr>
            <w:tcW w:w="1361" w:type="dxa"/>
            <w:tcBorders>
              <w:top w:val="nil"/>
              <w:left w:val="nil"/>
              <w:bottom w:val="single" w:sz="8" w:space="0" w:color="A6A6A6"/>
              <w:right w:val="single" w:sz="8" w:space="0" w:color="A6A6A6"/>
            </w:tcBorders>
            <w:shd w:val="clear" w:color="auto" w:fill="auto"/>
            <w:vAlign w:val="center"/>
            <w:hideMark/>
          </w:tcPr>
          <w:p w14:paraId="50399313" w14:textId="77777777" w:rsidR="00CA0F6F" w:rsidRPr="00CA0F6F" w:rsidRDefault="00CA0F6F" w:rsidP="00CA0F6F">
            <w:pPr>
              <w:spacing w:after="0" w:line="240" w:lineRule="auto"/>
              <w:jc w:val="center"/>
              <w:rPr>
                <w:rFonts w:ascii="Calibri" w:eastAsia="Times New Roman" w:hAnsi="Calibri" w:cs="Calibri"/>
                <w:b/>
                <w:bCs/>
                <w:color w:val="000000"/>
                <w:lang w:eastAsia="es-CO"/>
              </w:rPr>
            </w:pPr>
            <w:r w:rsidRPr="00CA0F6F">
              <w:rPr>
                <w:rFonts w:ascii="Calibri" w:eastAsia="Times New Roman" w:hAnsi="Calibri" w:cs="Calibri"/>
                <w:b/>
                <w:bCs/>
                <w:color w:val="000000"/>
                <w:lang w:eastAsia="es-CO"/>
              </w:rPr>
              <w:t>40%</w:t>
            </w:r>
          </w:p>
        </w:tc>
        <w:tc>
          <w:tcPr>
            <w:tcW w:w="1561" w:type="dxa"/>
            <w:tcBorders>
              <w:top w:val="nil"/>
              <w:left w:val="nil"/>
              <w:bottom w:val="single" w:sz="8" w:space="0" w:color="A6A6A6"/>
              <w:right w:val="single" w:sz="8" w:space="0" w:color="A6A6A6"/>
            </w:tcBorders>
            <w:shd w:val="clear" w:color="auto" w:fill="auto"/>
            <w:noWrap/>
            <w:vAlign w:val="bottom"/>
            <w:hideMark/>
          </w:tcPr>
          <w:p w14:paraId="4BCC25F4"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Acueducto</w:t>
            </w:r>
          </w:p>
        </w:tc>
        <w:tc>
          <w:tcPr>
            <w:tcW w:w="1407" w:type="dxa"/>
            <w:tcBorders>
              <w:top w:val="nil"/>
              <w:left w:val="nil"/>
              <w:bottom w:val="single" w:sz="8" w:space="0" w:color="A6A6A6"/>
              <w:right w:val="single" w:sz="8" w:space="0" w:color="A6A6A6"/>
            </w:tcBorders>
            <w:shd w:val="clear" w:color="auto" w:fill="auto"/>
            <w:noWrap/>
            <w:vAlign w:val="bottom"/>
            <w:hideMark/>
          </w:tcPr>
          <w:p w14:paraId="71D8EA9D"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 xml:space="preserve"> $         55.22 </w:t>
            </w:r>
          </w:p>
        </w:tc>
        <w:tc>
          <w:tcPr>
            <w:tcW w:w="1407" w:type="dxa"/>
            <w:tcBorders>
              <w:top w:val="nil"/>
              <w:left w:val="nil"/>
              <w:bottom w:val="single" w:sz="8" w:space="0" w:color="A6A6A6"/>
              <w:right w:val="single" w:sz="8" w:space="0" w:color="A6A6A6"/>
            </w:tcBorders>
            <w:shd w:val="clear" w:color="auto" w:fill="auto"/>
            <w:noWrap/>
            <w:vAlign w:val="bottom"/>
            <w:hideMark/>
          </w:tcPr>
          <w:p w14:paraId="29AD753C"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 xml:space="preserve"> $         62.51 </w:t>
            </w:r>
          </w:p>
        </w:tc>
      </w:tr>
      <w:tr w:rsidR="00CA0F6F" w:rsidRPr="00CA0F6F" w14:paraId="79EE96AE" w14:textId="77777777" w:rsidTr="00CA0F6F">
        <w:trPr>
          <w:trHeight w:val="159"/>
          <w:jc w:val="center"/>
        </w:trPr>
        <w:tc>
          <w:tcPr>
            <w:tcW w:w="1520" w:type="dxa"/>
            <w:vMerge/>
            <w:tcBorders>
              <w:top w:val="nil"/>
              <w:left w:val="single" w:sz="8" w:space="0" w:color="A6A6A6"/>
              <w:bottom w:val="single" w:sz="8" w:space="0" w:color="A6A6A6"/>
              <w:right w:val="single" w:sz="8" w:space="0" w:color="A6A6A6"/>
            </w:tcBorders>
            <w:vAlign w:val="center"/>
            <w:hideMark/>
          </w:tcPr>
          <w:p w14:paraId="3F79E5F6" w14:textId="77777777" w:rsidR="00CA0F6F" w:rsidRPr="00CA0F6F" w:rsidRDefault="00CA0F6F" w:rsidP="00CA0F6F">
            <w:pPr>
              <w:spacing w:after="0" w:line="240" w:lineRule="auto"/>
              <w:rPr>
                <w:rFonts w:ascii="Calibri" w:eastAsia="Times New Roman" w:hAnsi="Calibri" w:cs="Calibri"/>
                <w:b/>
                <w:bCs/>
                <w:color w:val="000000"/>
                <w:lang w:eastAsia="es-CO"/>
              </w:rPr>
            </w:pPr>
          </w:p>
        </w:tc>
        <w:tc>
          <w:tcPr>
            <w:tcW w:w="1361" w:type="dxa"/>
            <w:tcBorders>
              <w:top w:val="nil"/>
              <w:left w:val="nil"/>
              <w:bottom w:val="single" w:sz="8" w:space="0" w:color="A6A6A6"/>
              <w:right w:val="single" w:sz="8" w:space="0" w:color="A6A6A6"/>
            </w:tcBorders>
            <w:shd w:val="clear" w:color="auto" w:fill="auto"/>
            <w:vAlign w:val="center"/>
            <w:hideMark/>
          </w:tcPr>
          <w:p w14:paraId="4277EBCE" w14:textId="77777777" w:rsidR="00CA0F6F" w:rsidRPr="00CA0F6F" w:rsidRDefault="00CA0F6F" w:rsidP="00CA0F6F">
            <w:pPr>
              <w:spacing w:after="0" w:line="240" w:lineRule="auto"/>
              <w:jc w:val="center"/>
              <w:rPr>
                <w:rFonts w:ascii="Calibri" w:eastAsia="Times New Roman" w:hAnsi="Calibri" w:cs="Calibri"/>
                <w:b/>
                <w:bCs/>
                <w:color w:val="000000"/>
                <w:lang w:eastAsia="es-CO"/>
              </w:rPr>
            </w:pPr>
            <w:r w:rsidRPr="00CA0F6F">
              <w:rPr>
                <w:rFonts w:ascii="Calibri" w:eastAsia="Times New Roman" w:hAnsi="Calibri" w:cs="Calibri"/>
                <w:b/>
                <w:bCs/>
                <w:color w:val="000000"/>
                <w:lang w:eastAsia="es-CO"/>
              </w:rPr>
              <w:t>40%</w:t>
            </w:r>
          </w:p>
        </w:tc>
        <w:tc>
          <w:tcPr>
            <w:tcW w:w="1561" w:type="dxa"/>
            <w:tcBorders>
              <w:top w:val="nil"/>
              <w:left w:val="nil"/>
              <w:bottom w:val="single" w:sz="8" w:space="0" w:color="A6A6A6"/>
              <w:right w:val="single" w:sz="8" w:space="0" w:color="A6A6A6"/>
            </w:tcBorders>
            <w:shd w:val="clear" w:color="auto" w:fill="auto"/>
            <w:noWrap/>
            <w:vAlign w:val="bottom"/>
            <w:hideMark/>
          </w:tcPr>
          <w:p w14:paraId="0D9E04B9"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Alcantarillado</w:t>
            </w:r>
          </w:p>
        </w:tc>
        <w:tc>
          <w:tcPr>
            <w:tcW w:w="1407" w:type="dxa"/>
            <w:tcBorders>
              <w:top w:val="nil"/>
              <w:left w:val="nil"/>
              <w:bottom w:val="single" w:sz="8" w:space="0" w:color="A6A6A6"/>
              <w:right w:val="single" w:sz="8" w:space="0" w:color="A6A6A6"/>
            </w:tcBorders>
            <w:shd w:val="clear" w:color="auto" w:fill="auto"/>
            <w:noWrap/>
            <w:vAlign w:val="bottom"/>
            <w:hideMark/>
          </w:tcPr>
          <w:p w14:paraId="0227DA3E"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 xml:space="preserve"> $         15.44 </w:t>
            </w:r>
          </w:p>
        </w:tc>
        <w:tc>
          <w:tcPr>
            <w:tcW w:w="1407" w:type="dxa"/>
            <w:tcBorders>
              <w:top w:val="nil"/>
              <w:left w:val="nil"/>
              <w:bottom w:val="single" w:sz="8" w:space="0" w:color="A6A6A6"/>
              <w:right w:val="single" w:sz="8" w:space="0" w:color="A6A6A6"/>
            </w:tcBorders>
            <w:shd w:val="clear" w:color="auto" w:fill="auto"/>
            <w:noWrap/>
            <w:vAlign w:val="bottom"/>
            <w:hideMark/>
          </w:tcPr>
          <w:p w14:paraId="4DEC365E"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 xml:space="preserve"> $       111.68 </w:t>
            </w:r>
          </w:p>
        </w:tc>
      </w:tr>
      <w:tr w:rsidR="00CA0F6F" w:rsidRPr="00CA0F6F" w14:paraId="66979B84" w14:textId="77777777" w:rsidTr="00CA0F6F">
        <w:trPr>
          <w:trHeight w:val="159"/>
          <w:jc w:val="center"/>
        </w:trPr>
        <w:tc>
          <w:tcPr>
            <w:tcW w:w="1520" w:type="dxa"/>
            <w:tcBorders>
              <w:top w:val="nil"/>
              <w:left w:val="single" w:sz="8" w:space="0" w:color="A6A6A6"/>
              <w:bottom w:val="single" w:sz="8" w:space="0" w:color="A6A6A6"/>
              <w:right w:val="single" w:sz="8" w:space="0" w:color="A6A6A6"/>
            </w:tcBorders>
            <w:shd w:val="clear" w:color="auto" w:fill="auto"/>
            <w:vAlign w:val="center"/>
            <w:hideMark/>
          </w:tcPr>
          <w:p w14:paraId="51177C95" w14:textId="77777777" w:rsidR="00CA0F6F" w:rsidRPr="00CA0F6F" w:rsidRDefault="00CA0F6F" w:rsidP="00CA0F6F">
            <w:pPr>
              <w:spacing w:after="0" w:line="240" w:lineRule="auto"/>
              <w:rPr>
                <w:rFonts w:ascii="Calibri" w:eastAsia="Times New Roman" w:hAnsi="Calibri" w:cs="Calibri"/>
                <w:b/>
                <w:bCs/>
                <w:color w:val="000000"/>
                <w:lang w:eastAsia="es-CO"/>
              </w:rPr>
            </w:pPr>
            <w:r w:rsidRPr="00CA0F6F">
              <w:rPr>
                <w:rFonts w:ascii="Calibri" w:eastAsia="Times New Roman" w:hAnsi="Calibri" w:cs="Calibri"/>
                <w:b/>
                <w:bCs/>
                <w:color w:val="000000"/>
                <w:lang w:eastAsia="es-CO"/>
              </w:rPr>
              <w:t xml:space="preserve">Mutatá </w:t>
            </w:r>
          </w:p>
        </w:tc>
        <w:tc>
          <w:tcPr>
            <w:tcW w:w="1361" w:type="dxa"/>
            <w:tcBorders>
              <w:top w:val="nil"/>
              <w:left w:val="nil"/>
              <w:bottom w:val="single" w:sz="8" w:space="0" w:color="A6A6A6"/>
              <w:right w:val="single" w:sz="8" w:space="0" w:color="A6A6A6"/>
            </w:tcBorders>
            <w:shd w:val="clear" w:color="auto" w:fill="auto"/>
            <w:vAlign w:val="center"/>
            <w:hideMark/>
          </w:tcPr>
          <w:p w14:paraId="0D134536" w14:textId="77777777" w:rsidR="00CA0F6F" w:rsidRPr="00CA0F6F" w:rsidRDefault="00CA0F6F" w:rsidP="00CA0F6F">
            <w:pPr>
              <w:spacing w:after="0" w:line="240" w:lineRule="auto"/>
              <w:jc w:val="center"/>
              <w:rPr>
                <w:rFonts w:ascii="Calibri" w:eastAsia="Times New Roman" w:hAnsi="Calibri" w:cs="Calibri"/>
                <w:b/>
                <w:bCs/>
                <w:color w:val="000000"/>
                <w:lang w:eastAsia="es-CO"/>
              </w:rPr>
            </w:pPr>
            <w:r w:rsidRPr="00CA0F6F">
              <w:rPr>
                <w:rFonts w:ascii="Calibri" w:eastAsia="Times New Roman" w:hAnsi="Calibri" w:cs="Calibri"/>
                <w:b/>
                <w:bCs/>
                <w:color w:val="000000"/>
                <w:lang w:eastAsia="es-CO"/>
              </w:rPr>
              <w:t>30%</w:t>
            </w:r>
          </w:p>
        </w:tc>
        <w:tc>
          <w:tcPr>
            <w:tcW w:w="1561" w:type="dxa"/>
            <w:tcBorders>
              <w:top w:val="nil"/>
              <w:left w:val="nil"/>
              <w:bottom w:val="single" w:sz="8" w:space="0" w:color="A6A6A6"/>
              <w:right w:val="single" w:sz="8" w:space="0" w:color="A6A6A6"/>
            </w:tcBorders>
            <w:shd w:val="clear" w:color="auto" w:fill="auto"/>
            <w:noWrap/>
            <w:vAlign w:val="bottom"/>
            <w:hideMark/>
          </w:tcPr>
          <w:p w14:paraId="3752DD5E"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Alcantarillado</w:t>
            </w:r>
          </w:p>
        </w:tc>
        <w:tc>
          <w:tcPr>
            <w:tcW w:w="1407" w:type="dxa"/>
            <w:tcBorders>
              <w:top w:val="nil"/>
              <w:left w:val="nil"/>
              <w:bottom w:val="single" w:sz="8" w:space="0" w:color="A6A6A6"/>
              <w:right w:val="single" w:sz="8" w:space="0" w:color="A6A6A6"/>
            </w:tcBorders>
            <w:shd w:val="clear" w:color="auto" w:fill="auto"/>
            <w:noWrap/>
            <w:vAlign w:val="bottom"/>
            <w:hideMark/>
          </w:tcPr>
          <w:p w14:paraId="01033432"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 xml:space="preserve"> $         46.43 </w:t>
            </w:r>
          </w:p>
        </w:tc>
        <w:tc>
          <w:tcPr>
            <w:tcW w:w="1407" w:type="dxa"/>
            <w:tcBorders>
              <w:top w:val="nil"/>
              <w:left w:val="nil"/>
              <w:bottom w:val="single" w:sz="8" w:space="0" w:color="A6A6A6"/>
              <w:right w:val="single" w:sz="8" w:space="0" w:color="A6A6A6"/>
            </w:tcBorders>
            <w:shd w:val="clear" w:color="auto" w:fill="auto"/>
            <w:noWrap/>
            <w:vAlign w:val="bottom"/>
            <w:hideMark/>
          </w:tcPr>
          <w:p w14:paraId="72F61BDB"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 xml:space="preserve"> $       147.69 </w:t>
            </w:r>
          </w:p>
        </w:tc>
      </w:tr>
      <w:tr w:rsidR="00CA0F6F" w:rsidRPr="00CA0F6F" w14:paraId="69138CDD" w14:textId="77777777" w:rsidTr="00CA0F6F">
        <w:trPr>
          <w:trHeight w:val="159"/>
          <w:jc w:val="center"/>
        </w:trPr>
        <w:tc>
          <w:tcPr>
            <w:tcW w:w="1520"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6135FF2D" w14:textId="77777777" w:rsidR="00CA0F6F" w:rsidRPr="00CA0F6F" w:rsidRDefault="00CA0F6F" w:rsidP="00CA0F6F">
            <w:pPr>
              <w:spacing w:after="0" w:line="240" w:lineRule="auto"/>
              <w:rPr>
                <w:rFonts w:ascii="Calibri" w:eastAsia="Times New Roman" w:hAnsi="Calibri" w:cs="Calibri"/>
                <w:b/>
                <w:bCs/>
                <w:color w:val="000000"/>
                <w:lang w:eastAsia="es-CO"/>
              </w:rPr>
            </w:pPr>
            <w:r w:rsidRPr="00CA0F6F">
              <w:rPr>
                <w:rFonts w:ascii="Calibri" w:eastAsia="Times New Roman" w:hAnsi="Calibri" w:cs="Calibri"/>
                <w:b/>
                <w:bCs/>
                <w:color w:val="000000"/>
                <w:lang w:eastAsia="es-CO"/>
              </w:rPr>
              <w:t xml:space="preserve">Olaya </w:t>
            </w:r>
          </w:p>
        </w:tc>
        <w:tc>
          <w:tcPr>
            <w:tcW w:w="1361" w:type="dxa"/>
            <w:tcBorders>
              <w:top w:val="nil"/>
              <w:left w:val="nil"/>
              <w:bottom w:val="single" w:sz="8" w:space="0" w:color="A6A6A6"/>
              <w:right w:val="single" w:sz="8" w:space="0" w:color="A6A6A6"/>
            </w:tcBorders>
            <w:shd w:val="clear" w:color="auto" w:fill="auto"/>
            <w:vAlign w:val="center"/>
            <w:hideMark/>
          </w:tcPr>
          <w:p w14:paraId="6F8B5496" w14:textId="77777777" w:rsidR="00CA0F6F" w:rsidRPr="00CA0F6F" w:rsidRDefault="00CA0F6F" w:rsidP="00CA0F6F">
            <w:pPr>
              <w:spacing w:after="0" w:line="240" w:lineRule="auto"/>
              <w:jc w:val="center"/>
              <w:rPr>
                <w:rFonts w:ascii="Calibri" w:eastAsia="Times New Roman" w:hAnsi="Calibri" w:cs="Calibri"/>
                <w:b/>
                <w:bCs/>
                <w:color w:val="000000"/>
                <w:lang w:eastAsia="es-CO"/>
              </w:rPr>
            </w:pPr>
            <w:r w:rsidRPr="00CA0F6F">
              <w:rPr>
                <w:rFonts w:ascii="Calibri" w:eastAsia="Times New Roman" w:hAnsi="Calibri" w:cs="Calibri"/>
                <w:b/>
                <w:bCs/>
                <w:color w:val="000000"/>
                <w:lang w:eastAsia="es-CO"/>
              </w:rPr>
              <w:t>40%</w:t>
            </w:r>
          </w:p>
        </w:tc>
        <w:tc>
          <w:tcPr>
            <w:tcW w:w="1561" w:type="dxa"/>
            <w:tcBorders>
              <w:top w:val="nil"/>
              <w:left w:val="nil"/>
              <w:bottom w:val="single" w:sz="8" w:space="0" w:color="A6A6A6"/>
              <w:right w:val="single" w:sz="8" w:space="0" w:color="A6A6A6"/>
            </w:tcBorders>
            <w:shd w:val="clear" w:color="auto" w:fill="auto"/>
            <w:noWrap/>
            <w:vAlign w:val="bottom"/>
            <w:hideMark/>
          </w:tcPr>
          <w:p w14:paraId="4F38E644"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Acueducto</w:t>
            </w:r>
          </w:p>
        </w:tc>
        <w:tc>
          <w:tcPr>
            <w:tcW w:w="1407" w:type="dxa"/>
            <w:tcBorders>
              <w:top w:val="nil"/>
              <w:left w:val="nil"/>
              <w:bottom w:val="single" w:sz="8" w:space="0" w:color="A6A6A6"/>
              <w:right w:val="single" w:sz="8" w:space="0" w:color="A6A6A6"/>
            </w:tcBorders>
            <w:shd w:val="clear" w:color="auto" w:fill="auto"/>
            <w:noWrap/>
            <w:vAlign w:val="bottom"/>
            <w:hideMark/>
          </w:tcPr>
          <w:p w14:paraId="54E6AE92"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 xml:space="preserve"> $       270.99 </w:t>
            </w:r>
          </w:p>
        </w:tc>
        <w:tc>
          <w:tcPr>
            <w:tcW w:w="1407" w:type="dxa"/>
            <w:tcBorders>
              <w:top w:val="nil"/>
              <w:left w:val="nil"/>
              <w:bottom w:val="single" w:sz="8" w:space="0" w:color="A6A6A6"/>
              <w:right w:val="single" w:sz="8" w:space="0" w:color="A6A6A6"/>
            </w:tcBorders>
            <w:shd w:val="clear" w:color="auto" w:fill="auto"/>
            <w:noWrap/>
            <w:vAlign w:val="bottom"/>
            <w:hideMark/>
          </w:tcPr>
          <w:p w14:paraId="30C3F826"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 xml:space="preserve"> $       311.14 </w:t>
            </w:r>
          </w:p>
        </w:tc>
      </w:tr>
      <w:tr w:rsidR="00CA0F6F" w:rsidRPr="00CA0F6F" w14:paraId="3BCBC446" w14:textId="77777777" w:rsidTr="00CA0F6F">
        <w:trPr>
          <w:trHeight w:val="159"/>
          <w:jc w:val="center"/>
        </w:trPr>
        <w:tc>
          <w:tcPr>
            <w:tcW w:w="1520" w:type="dxa"/>
            <w:vMerge/>
            <w:tcBorders>
              <w:top w:val="nil"/>
              <w:left w:val="single" w:sz="8" w:space="0" w:color="A6A6A6"/>
              <w:bottom w:val="single" w:sz="8" w:space="0" w:color="A6A6A6"/>
              <w:right w:val="single" w:sz="8" w:space="0" w:color="A6A6A6"/>
            </w:tcBorders>
            <w:vAlign w:val="center"/>
            <w:hideMark/>
          </w:tcPr>
          <w:p w14:paraId="2E0FE9EE" w14:textId="77777777" w:rsidR="00CA0F6F" w:rsidRPr="00CA0F6F" w:rsidRDefault="00CA0F6F" w:rsidP="00CA0F6F">
            <w:pPr>
              <w:spacing w:after="0" w:line="240" w:lineRule="auto"/>
              <w:rPr>
                <w:rFonts w:ascii="Calibri" w:eastAsia="Times New Roman" w:hAnsi="Calibri" w:cs="Calibri"/>
                <w:b/>
                <w:bCs/>
                <w:color w:val="000000"/>
                <w:lang w:eastAsia="es-CO"/>
              </w:rPr>
            </w:pPr>
          </w:p>
        </w:tc>
        <w:tc>
          <w:tcPr>
            <w:tcW w:w="1361" w:type="dxa"/>
            <w:tcBorders>
              <w:top w:val="nil"/>
              <w:left w:val="nil"/>
              <w:bottom w:val="single" w:sz="8" w:space="0" w:color="A6A6A6"/>
              <w:right w:val="single" w:sz="8" w:space="0" w:color="A6A6A6"/>
            </w:tcBorders>
            <w:shd w:val="clear" w:color="auto" w:fill="auto"/>
            <w:vAlign w:val="center"/>
            <w:hideMark/>
          </w:tcPr>
          <w:p w14:paraId="338E1BAA" w14:textId="77777777" w:rsidR="00CA0F6F" w:rsidRPr="00CA0F6F" w:rsidRDefault="00CA0F6F" w:rsidP="00CA0F6F">
            <w:pPr>
              <w:spacing w:after="0" w:line="240" w:lineRule="auto"/>
              <w:jc w:val="center"/>
              <w:rPr>
                <w:rFonts w:ascii="Calibri" w:eastAsia="Times New Roman" w:hAnsi="Calibri" w:cs="Calibri"/>
                <w:b/>
                <w:bCs/>
                <w:color w:val="000000"/>
                <w:lang w:eastAsia="es-CO"/>
              </w:rPr>
            </w:pPr>
            <w:r w:rsidRPr="00CA0F6F">
              <w:rPr>
                <w:rFonts w:ascii="Calibri" w:eastAsia="Times New Roman" w:hAnsi="Calibri" w:cs="Calibri"/>
                <w:b/>
                <w:bCs/>
                <w:color w:val="000000"/>
                <w:lang w:eastAsia="es-CO"/>
              </w:rPr>
              <w:t>40%</w:t>
            </w:r>
          </w:p>
        </w:tc>
        <w:tc>
          <w:tcPr>
            <w:tcW w:w="1561" w:type="dxa"/>
            <w:tcBorders>
              <w:top w:val="nil"/>
              <w:left w:val="nil"/>
              <w:bottom w:val="single" w:sz="8" w:space="0" w:color="A6A6A6"/>
              <w:right w:val="single" w:sz="8" w:space="0" w:color="A6A6A6"/>
            </w:tcBorders>
            <w:shd w:val="clear" w:color="auto" w:fill="auto"/>
            <w:noWrap/>
            <w:vAlign w:val="bottom"/>
            <w:hideMark/>
          </w:tcPr>
          <w:p w14:paraId="6DC8182E"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Alcantarillado</w:t>
            </w:r>
          </w:p>
        </w:tc>
        <w:tc>
          <w:tcPr>
            <w:tcW w:w="1407" w:type="dxa"/>
            <w:tcBorders>
              <w:top w:val="nil"/>
              <w:left w:val="nil"/>
              <w:bottom w:val="single" w:sz="8" w:space="0" w:color="A6A6A6"/>
              <w:right w:val="single" w:sz="8" w:space="0" w:color="A6A6A6"/>
            </w:tcBorders>
            <w:shd w:val="clear" w:color="auto" w:fill="auto"/>
            <w:noWrap/>
            <w:vAlign w:val="bottom"/>
            <w:hideMark/>
          </w:tcPr>
          <w:p w14:paraId="30548B3B"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 xml:space="preserve"> $       166.78 </w:t>
            </w:r>
          </w:p>
        </w:tc>
        <w:tc>
          <w:tcPr>
            <w:tcW w:w="1407" w:type="dxa"/>
            <w:tcBorders>
              <w:top w:val="nil"/>
              <w:left w:val="nil"/>
              <w:bottom w:val="single" w:sz="8" w:space="0" w:color="A6A6A6"/>
              <w:right w:val="single" w:sz="8" w:space="0" w:color="A6A6A6"/>
            </w:tcBorders>
            <w:shd w:val="clear" w:color="auto" w:fill="auto"/>
            <w:noWrap/>
            <w:vAlign w:val="bottom"/>
            <w:hideMark/>
          </w:tcPr>
          <w:p w14:paraId="366E2D47"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 xml:space="preserve"> $       426.81 </w:t>
            </w:r>
          </w:p>
        </w:tc>
      </w:tr>
      <w:tr w:rsidR="00CA0F6F" w:rsidRPr="00CA0F6F" w14:paraId="706CB84C" w14:textId="77777777" w:rsidTr="00CA0F6F">
        <w:trPr>
          <w:trHeight w:val="159"/>
          <w:jc w:val="center"/>
        </w:trPr>
        <w:tc>
          <w:tcPr>
            <w:tcW w:w="1520" w:type="dxa"/>
            <w:tcBorders>
              <w:top w:val="nil"/>
              <w:left w:val="single" w:sz="8" w:space="0" w:color="A6A6A6"/>
              <w:bottom w:val="single" w:sz="8" w:space="0" w:color="A6A6A6"/>
              <w:right w:val="single" w:sz="8" w:space="0" w:color="A6A6A6"/>
            </w:tcBorders>
            <w:shd w:val="clear" w:color="auto" w:fill="auto"/>
            <w:vAlign w:val="center"/>
            <w:hideMark/>
          </w:tcPr>
          <w:p w14:paraId="13359636" w14:textId="77777777" w:rsidR="00CA0F6F" w:rsidRPr="00CA0F6F" w:rsidRDefault="00CA0F6F" w:rsidP="00CA0F6F">
            <w:pPr>
              <w:spacing w:after="0" w:line="240" w:lineRule="auto"/>
              <w:rPr>
                <w:rFonts w:ascii="Calibri" w:eastAsia="Times New Roman" w:hAnsi="Calibri" w:cs="Calibri"/>
                <w:b/>
                <w:bCs/>
                <w:color w:val="000000"/>
                <w:lang w:eastAsia="es-CO"/>
              </w:rPr>
            </w:pPr>
            <w:r w:rsidRPr="00CA0F6F">
              <w:rPr>
                <w:rFonts w:ascii="Calibri" w:eastAsia="Times New Roman" w:hAnsi="Calibri" w:cs="Calibri"/>
                <w:b/>
                <w:bCs/>
                <w:color w:val="000000"/>
                <w:lang w:eastAsia="es-CO"/>
              </w:rPr>
              <w:t xml:space="preserve">San Jerónimo </w:t>
            </w:r>
          </w:p>
        </w:tc>
        <w:tc>
          <w:tcPr>
            <w:tcW w:w="1361" w:type="dxa"/>
            <w:tcBorders>
              <w:top w:val="nil"/>
              <w:left w:val="nil"/>
              <w:bottom w:val="single" w:sz="8" w:space="0" w:color="A6A6A6"/>
              <w:right w:val="single" w:sz="8" w:space="0" w:color="A6A6A6"/>
            </w:tcBorders>
            <w:shd w:val="clear" w:color="auto" w:fill="auto"/>
            <w:vAlign w:val="center"/>
            <w:hideMark/>
          </w:tcPr>
          <w:p w14:paraId="09D054DC" w14:textId="77777777" w:rsidR="00CA0F6F" w:rsidRPr="00CA0F6F" w:rsidRDefault="00CA0F6F" w:rsidP="00CA0F6F">
            <w:pPr>
              <w:spacing w:after="0" w:line="240" w:lineRule="auto"/>
              <w:jc w:val="center"/>
              <w:rPr>
                <w:rFonts w:ascii="Calibri" w:eastAsia="Times New Roman" w:hAnsi="Calibri" w:cs="Calibri"/>
                <w:b/>
                <w:bCs/>
                <w:color w:val="000000"/>
                <w:lang w:eastAsia="es-CO"/>
              </w:rPr>
            </w:pPr>
            <w:r w:rsidRPr="00CA0F6F">
              <w:rPr>
                <w:rFonts w:ascii="Calibri" w:eastAsia="Times New Roman" w:hAnsi="Calibri" w:cs="Calibri"/>
                <w:b/>
                <w:bCs/>
                <w:color w:val="000000"/>
                <w:lang w:eastAsia="es-CO"/>
              </w:rPr>
              <w:t>30%</w:t>
            </w:r>
          </w:p>
        </w:tc>
        <w:tc>
          <w:tcPr>
            <w:tcW w:w="1561" w:type="dxa"/>
            <w:tcBorders>
              <w:top w:val="nil"/>
              <w:left w:val="nil"/>
              <w:bottom w:val="single" w:sz="8" w:space="0" w:color="A6A6A6"/>
              <w:right w:val="single" w:sz="8" w:space="0" w:color="A6A6A6"/>
            </w:tcBorders>
            <w:shd w:val="clear" w:color="auto" w:fill="auto"/>
            <w:noWrap/>
            <w:vAlign w:val="bottom"/>
            <w:hideMark/>
          </w:tcPr>
          <w:p w14:paraId="18543B17"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Alcantarillado</w:t>
            </w:r>
          </w:p>
        </w:tc>
        <w:tc>
          <w:tcPr>
            <w:tcW w:w="1407" w:type="dxa"/>
            <w:tcBorders>
              <w:top w:val="nil"/>
              <w:left w:val="nil"/>
              <w:bottom w:val="single" w:sz="8" w:space="0" w:color="A6A6A6"/>
              <w:right w:val="single" w:sz="8" w:space="0" w:color="A6A6A6"/>
            </w:tcBorders>
            <w:shd w:val="clear" w:color="auto" w:fill="auto"/>
            <w:noWrap/>
            <w:vAlign w:val="bottom"/>
            <w:hideMark/>
          </w:tcPr>
          <w:p w14:paraId="726B998D"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 xml:space="preserve"> $         31.67 </w:t>
            </w:r>
          </w:p>
        </w:tc>
        <w:tc>
          <w:tcPr>
            <w:tcW w:w="1407" w:type="dxa"/>
            <w:tcBorders>
              <w:top w:val="nil"/>
              <w:left w:val="nil"/>
              <w:bottom w:val="single" w:sz="8" w:space="0" w:color="A6A6A6"/>
              <w:right w:val="single" w:sz="8" w:space="0" w:color="A6A6A6"/>
            </w:tcBorders>
            <w:shd w:val="clear" w:color="auto" w:fill="auto"/>
            <w:noWrap/>
            <w:vAlign w:val="bottom"/>
            <w:hideMark/>
          </w:tcPr>
          <w:p w14:paraId="24EE98E8"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 xml:space="preserve"> $       236.79 </w:t>
            </w:r>
          </w:p>
        </w:tc>
      </w:tr>
      <w:tr w:rsidR="00CA0F6F" w:rsidRPr="00CA0F6F" w14:paraId="2C4563CD" w14:textId="77777777" w:rsidTr="00CA0F6F">
        <w:trPr>
          <w:trHeight w:val="159"/>
          <w:jc w:val="center"/>
        </w:trPr>
        <w:tc>
          <w:tcPr>
            <w:tcW w:w="1520"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15E72868" w14:textId="77777777" w:rsidR="00CA0F6F" w:rsidRPr="00CA0F6F" w:rsidRDefault="00CA0F6F" w:rsidP="00CA0F6F">
            <w:pPr>
              <w:spacing w:after="0" w:line="240" w:lineRule="auto"/>
              <w:rPr>
                <w:rFonts w:ascii="Calibri" w:eastAsia="Times New Roman" w:hAnsi="Calibri" w:cs="Calibri"/>
                <w:b/>
                <w:bCs/>
                <w:color w:val="000000"/>
                <w:lang w:eastAsia="es-CO"/>
              </w:rPr>
            </w:pPr>
            <w:r w:rsidRPr="00CA0F6F">
              <w:rPr>
                <w:rFonts w:ascii="Calibri" w:eastAsia="Times New Roman" w:hAnsi="Calibri" w:cs="Calibri"/>
                <w:b/>
                <w:bCs/>
                <w:color w:val="000000"/>
                <w:lang w:eastAsia="es-CO"/>
              </w:rPr>
              <w:t xml:space="preserve">Sopetrán </w:t>
            </w:r>
          </w:p>
        </w:tc>
        <w:tc>
          <w:tcPr>
            <w:tcW w:w="1361" w:type="dxa"/>
            <w:tcBorders>
              <w:top w:val="nil"/>
              <w:left w:val="nil"/>
              <w:bottom w:val="single" w:sz="8" w:space="0" w:color="A6A6A6"/>
              <w:right w:val="single" w:sz="8" w:space="0" w:color="A6A6A6"/>
            </w:tcBorders>
            <w:shd w:val="clear" w:color="auto" w:fill="auto"/>
            <w:vAlign w:val="center"/>
            <w:hideMark/>
          </w:tcPr>
          <w:p w14:paraId="6005EDBA" w14:textId="77777777" w:rsidR="00CA0F6F" w:rsidRPr="00CA0F6F" w:rsidRDefault="00CA0F6F" w:rsidP="00CA0F6F">
            <w:pPr>
              <w:spacing w:after="0" w:line="240" w:lineRule="auto"/>
              <w:jc w:val="center"/>
              <w:rPr>
                <w:rFonts w:ascii="Calibri" w:eastAsia="Times New Roman" w:hAnsi="Calibri" w:cs="Calibri"/>
                <w:b/>
                <w:bCs/>
                <w:color w:val="000000"/>
                <w:lang w:eastAsia="es-CO"/>
              </w:rPr>
            </w:pPr>
            <w:r w:rsidRPr="00CA0F6F">
              <w:rPr>
                <w:rFonts w:ascii="Calibri" w:eastAsia="Times New Roman" w:hAnsi="Calibri" w:cs="Calibri"/>
                <w:b/>
                <w:bCs/>
                <w:color w:val="000000"/>
                <w:lang w:eastAsia="es-CO"/>
              </w:rPr>
              <w:t>30%</w:t>
            </w:r>
          </w:p>
        </w:tc>
        <w:tc>
          <w:tcPr>
            <w:tcW w:w="1561" w:type="dxa"/>
            <w:tcBorders>
              <w:top w:val="nil"/>
              <w:left w:val="nil"/>
              <w:bottom w:val="single" w:sz="8" w:space="0" w:color="A6A6A6"/>
              <w:right w:val="single" w:sz="8" w:space="0" w:color="A6A6A6"/>
            </w:tcBorders>
            <w:shd w:val="clear" w:color="auto" w:fill="auto"/>
            <w:noWrap/>
            <w:vAlign w:val="bottom"/>
            <w:hideMark/>
          </w:tcPr>
          <w:p w14:paraId="5E7DF181"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Acueducto</w:t>
            </w:r>
          </w:p>
        </w:tc>
        <w:tc>
          <w:tcPr>
            <w:tcW w:w="1407" w:type="dxa"/>
            <w:tcBorders>
              <w:top w:val="nil"/>
              <w:left w:val="nil"/>
              <w:bottom w:val="single" w:sz="8" w:space="0" w:color="A6A6A6"/>
              <w:right w:val="single" w:sz="8" w:space="0" w:color="A6A6A6"/>
            </w:tcBorders>
            <w:shd w:val="clear" w:color="auto" w:fill="auto"/>
            <w:noWrap/>
            <w:vAlign w:val="bottom"/>
            <w:hideMark/>
          </w:tcPr>
          <w:p w14:paraId="20A6C226"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 xml:space="preserve"> $         53.73 </w:t>
            </w:r>
          </w:p>
        </w:tc>
        <w:tc>
          <w:tcPr>
            <w:tcW w:w="1407" w:type="dxa"/>
            <w:tcBorders>
              <w:top w:val="nil"/>
              <w:left w:val="nil"/>
              <w:bottom w:val="single" w:sz="8" w:space="0" w:color="A6A6A6"/>
              <w:right w:val="single" w:sz="8" w:space="0" w:color="A6A6A6"/>
            </w:tcBorders>
            <w:shd w:val="clear" w:color="auto" w:fill="auto"/>
            <w:noWrap/>
            <w:vAlign w:val="bottom"/>
            <w:hideMark/>
          </w:tcPr>
          <w:p w14:paraId="3872EEF1"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 xml:space="preserve"> $       195.48 </w:t>
            </w:r>
          </w:p>
        </w:tc>
      </w:tr>
      <w:tr w:rsidR="00CA0F6F" w:rsidRPr="00CA0F6F" w14:paraId="655C3371" w14:textId="77777777" w:rsidTr="00CA0F6F">
        <w:trPr>
          <w:trHeight w:val="159"/>
          <w:jc w:val="center"/>
        </w:trPr>
        <w:tc>
          <w:tcPr>
            <w:tcW w:w="1520" w:type="dxa"/>
            <w:vMerge/>
            <w:tcBorders>
              <w:top w:val="nil"/>
              <w:left w:val="single" w:sz="8" w:space="0" w:color="A6A6A6"/>
              <w:bottom w:val="single" w:sz="8" w:space="0" w:color="A6A6A6"/>
              <w:right w:val="single" w:sz="8" w:space="0" w:color="A6A6A6"/>
            </w:tcBorders>
            <w:vAlign w:val="center"/>
            <w:hideMark/>
          </w:tcPr>
          <w:p w14:paraId="7D12778D" w14:textId="77777777" w:rsidR="00CA0F6F" w:rsidRPr="00CA0F6F" w:rsidRDefault="00CA0F6F" w:rsidP="00CA0F6F">
            <w:pPr>
              <w:spacing w:after="0" w:line="240" w:lineRule="auto"/>
              <w:rPr>
                <w:rFonts w:ascii="Calibri" w:eastAsia="Times New Roman" w:hAnsi="Calibri" w:cs="Calibri"/>
                <w:b/>
                <w:bCs/>
                <w:color w:val="000000"/>
                <w:lang w:eastAsia="es-CO"/>
              </w:rPr>
            </w:pPr>
          </w:p>
        </w:tc>
        <w:tc>
          <w:tcPr>
            <w:tcW w:w="1361" w:type="dxa"/>
            <w:tcBorders>
              <w:top w:val="nil"/>
              <w:left w:val="nil"/>
              <w:bottom w:val="single" w:sz="8" w:space="0" w:color="A6A6A6"/>
              <w:right w:val="single" w:sz="8" w:space="0" w:color="A6A6A6"/>
            </w:tcBorders>
            <w:shd w:val="clear" w:color="auto" w:fill="auto"/>
            <w:vAlign w:val="center"/>
            <w:hideMark/>
          </w:tcPr>
          <w:p w14:paraId="48815262" w14:textId="77777777" w:rsidR="00CA0F6F" w:rsidRPr="00CA0F6F" w:rsidRDefault="00CA0F6F" w:rsidP="00CA0F6F">
            <w:pPr>
              <w:spacing w:after="0" w:line="240" w:lineRule="auto"/>
              <w:jc w:val="center"/>
              <w:rPr>
                <w:rFonts w:ascii="Calibri" w:eastAsia="Times New Roman" w:hAnsi="Calibri" w:cs="Calibri"/>
                <w:b/>
                <w:bCs/>
                <w:color w:val="000000"/>
                <w:lang w:eastAsia="es-CO"/>
              </w:rPr>
            </w:pPr>
            <w:r w:rsidRPr="00CA0F6F">
              <w:rPr>
                <w:rFonts w:ascii="Calibri" w:eastAsia="Times New Roman" w:hAnsi="Calibri" w:cs="Calibri"/>
                <w:b/>
                <w:bCs/>
                <w:color w:val="000000"/>
                <w:lang w:eastAsia="es-CO"/>
              </w:rPr>
              <w:t>30%</w:t>
            </w:r>
          </w:p>
        </w:tc>
        <w:tc>
          <w:tcPr>
            <w:tcW w:w="1561" w:type="dxa"/>
            <w:tcBorders>
              <w:top w:val="nil"/>
              <w:left w:val="nil"/>
              <w:bottom w:val="single" w:sz="8" w:space="0" w:color="A6A6A6"/>
              <w:right w:val="single" w:sz="8" w:space="0" w:color="A6A6A6"/>
            </w:tcBorders>
            <w:shd w:val="clear" w:color="auto" w:fill="auto"/>
            <w:noWrap/>
            <w:vAlign w:val="bottom"/>
            <w:hideMark/>
          </w:tcPr>
          <w:p w14:paraId="244264AD"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Alcantarillado</w:t>
            </w:r>
          </w:p>
        </w:tc>
        <w:tc>
          <w:tcPr>
            <w:tcW w:w="1407" w:type="dxa"/>
            <w:tcBorders>
              <w:top w:val="nil"/>
              <w:left w:val="nil"/>
              <w:bottom w:val="single" w:sz="8" w:space="0" w:color="A6A6A6"/>
              <w:right w:val="single" w:sz="8" w:space="0" w:color="A6A6A6"/>
            </w:tcBorders>
            <w:shd w:val="clear" w:color="auto" w:fill="auto"/>
            <w:noWrap/>
            <w:vAlign w:val="bottom"/>
            <w:hideMark/>
          </w:tcPr>
          <w:p w14:paraId="221D09FB"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 xml:space="preserve"> $         20.83 </w:t>
            </w:r>
          </w:p>
        </w:tc>
        <w:tc>
          <w:tcPr>
            <w:tcW w:w="1407" w:type="dxa"/>
            <w:tcBorders>
              <w:top w:val="nil"/>
              <w:left w:val="nil"/>
              <w:bottom w:val="single" w:sz="8" w:space="0" w:color="A6A6A6"/>
              <w:right w:val="single" w:sz="8" w:space="0" w:color="A6A6A6"/>
            </w:tcBorders>
            <w:shd w:val="clear" w:color="auto" w:fill="auto"/>
            <w:noWrap/>
            <w:vAlign w:val="bottom"/>
            <w:hideMark/>
          </w:tcPr>
          <w:p w14:paraId="4F14A073"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 xml:space="preserve"> $       114.29 </w:t>
            </w:r>
          </w:p>
        </w:tc>
      </w:tr>
      <w:tr w:rsidR="00CA0F6F" w:rsidRPr="00CA0F6F" w14:paraId="4F20E032" w14:textId="77777777" w:rsidTr="00CA0F6F">
        <w:trPr>
          <w:trHeight w:val="159"/>
          <w:jc w:val="center"/>
        </w:trPr>
        <w:tc>
          <w:tcPr>
            <w:tcW w:w="1520"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1D2E63D3" w14:textId="77777777" w:rsidR="00CA0F6F" w:rsidRPr="00CA0F6F" w:rsidRDefault="00CA0F6F" w:rsidP="00CA0F6F">
            <w:pPr>
              <w:spacing w:after="0" w:line="240" w:lineRule="auto"/>
              <w:rPr>
                <w:rFonts w:ascii="Calibri" w:eastAsia="Times New Roman" w:hAnsi="Calibri" w:cs="Calibri"/>
                <w:b/>
                <w:bCs/>
                <w:color w:val="000000"/>
                <w:lang w:eastAsia="es-CO"/>
              </w:rPr>
            </w:pPr>
            <w:r w:rsidRPr="00CA0F6F">
              <w:rPr>
                <w:rFonts w:ascii="Calibri" w:eastAsia="Times New Roman" w:hAnsi="Calibri" w:cs="Calibri"/>
                <w:b/>
                <w:bCs/>
                <w:color w:val="000000"/>
                <w:lang w:eastAsia="es-CO"/>
              </w:rPr>
              <w:t>Turbo</w:t>
            </w:r>
          </w:p>
        </w:tc>
        <w:tc>
          <w:tcPr>
            <w:tcW w:w="1361" w:type="dxa"/>
            <w:tcBorders>
              <w:top w:val="nil"/>
              <w:left w:val="nil"/>
              <w:bottom w:val="single" w:sz="8" w:space="0" w:color="A6A6A6"/>
              <w:right w:val="single" w:sz="8" w:space="0" w:color="A6A6A6"/>
            </w:tcBorders>
            <w:shd w:val="clear" w:color="auto" w:fill="auto"/>
            <w:vAlign w:val="center"/>
            <w:hideMark/>
          </w:tcPr>
          <w:p w14:paraId="17B84D1A" w14:textId="77777777" w:rsidR="00CA0F6F" w:rsidRPr="00CA0F6F" w:rsidRDefault="00CA0F6F" w:rsidP="00CA0F6F">
            <w:pPr>
              <w:spacing w:after="0" w:line="240" w:lineRule="auto"/>
              <w:jc w:val="center"/>
              <w:rPr>
                <w:rFonts w:ascii="Calibri" w:eastAsia="Times New Roman" w:hAnsi="Calibri" w:cs="Calibri"/>
                <w:b/>
                <w:bCs/>
                <w:color w:val="000000"/>
                <w:lang w:eastAsia="es-CO"/>
              </w:rPr>
            </w:pPr>
            <w:r w:rsidRPr="00CA0F6F">
              <w:rPr>
                <w:rFonts w:ascii="Calibri" w:eastAsia="Times New Roman" w:hAnsi="Calibri" w:cs="Calibri"/>
                <w:b/>
                <w:bCs/>
                <w:color w:val="000000"/>
                <w:lang w:eastAsia="es-CO"/>
              </w:rPr>
              <w:t>100%</w:t>
            </w:r>
          </w:p>
        </w:tc>
        <w:tc>
          <w:tcPr>
            <w:tcW w:w="1561" w:type="dxa"/>
            <w:tcBorders>
              <w:top w:val="nil"/>
              <w:left w:val="nil"/>
              <w:bottom w:val="single" w:sz="8" w:space="0" w:color="A6A6A6"/>
              <w:right w:val="single" w:sz="8" w:space="0" w:color="A6A6A6"/>
            </w:tcBorders>
            <w:shd w:val="clear" w:color="auto" w:fill="auto"/>
            <w:noWrap/>
            <w:vAlign w:val="bottom"/>
            <w:hideMark/>
          </w:tcPr>
          <w:p w14:paraId="1472A1CF"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Acueducto</w:t>
            </w:r>
          </w:p>
        </w:tc>
        <w:tc>
          <w:tcPr>
            <w:tcW w:w="1407" w:type="dxa"/>
            <w:tcBorders>
              <w:top w:val="nil"/>
              <w:left w:val="nil"/>
              <w:bottom w:val="single" w:sz="8" w:space="0" w:color="A6A6A6"/>
              <w:right w:val="single" w:sz="8" w:space="0" w:color="A6A6A6"/>
            </w:tcBorders>
            <w:shd w:val="clear" w:color="auto" w:fill="auto"/>
            <w:noWrap/>
            <w:vAlign w:val="bottom"/>
            <w:hideMark/>
          </w:tcPr>
          <w:p w14:paraId="0CB640FE"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 xml:space="preserve"> $         23.46 </w:t>
            </w:r>
          </w:p>
        </w:tc>
        <w:tc>
          <w:tcPr>
            <w:tcW w:w="1407" w:type="dxa"/>
            <w:tcBorders>
              <w:top w:val="nil"/>
              <w:left w:val="nil"/>
              <w:bottom w:val="single" w:sz="8" w:space="0" w:color="A6A6A6"/>
              <w:right w:val="single" w:sz="8" w:space="0" w:color="A6A6A6"/>
            </w:tcBorders>
            <w:shd w:val="clear" w:color="auto" w:fill="auto"/>
            <w:noWrap/>
            <w:vAlign w:val="bottom"/>
            <w:hideMark/>
          </w:tcPr>
          <w:p w14:paraId="46E80BFE"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 xml:space="preserve"> $         40.24 </w:t>
            </w:r>
          </w:p>
        </w:tc>
      </w:tr>
      <w:tr w:rsidR="00CA0F6F" w:rsidRPr="00CA0F6F" w14:paraId="13237397" w14:textId="77777777" w:rsidTr="00CA0F6F">
        <w:trPr>
          <w:trHeight w:val="159"/>
          <w:jc w:val="center"/>
        </w:trPr>
        <w:tc>
          <w:tcPr>
            <w:tcW w:w="1520" w:type="dxa"/>
            <w:vMerge/>
            <w:tcBorders>
              <w:top w:val="nil"/>
              <w:left w:val="single" w:sz="8" w:space="0" w:color="A6A6A6"/>
              <w:bottom w:val="single" w:sz="8" w:space="0" w:color="A6A6A6"/>
              <w:right w:val="single" w:sz="8" w:space="0" w:color="A6A6A6"/>
            </w:tcBorders>
            <w:vAlign w:val="center"/>
            <w:hideMark/>
          </w:tcPr>
          <w:p w14:paraId="3B45BE99" w14:textId="77777777" w:rsidR="00CA0F6F" w:rsidRPr="00CA0F6F" w:rsidRDefault="00CA0F6F" w:rsidP="00CA0F6F">
            <w:pPr>
              <w:spacing w:after="0" w:line="240" w:lineRule="auto"/>
              <w:rPr>
                <w:rFonts w:ascii="Calibri" w:eastAsia="Times New Roman" w:hAnsi="Calibri" w:cs="Calibri"/>
                <w:b/>
                <w:bCs/>
                <w:color w:val="000000"/>
                <w:lang w:eastAsia="es-CO"/>
              </w:rPr>
            </w:pPr>
          </w:p>
        </w:tc>
        <w:tc>
          <w:tcPr>
            <w:tcW w:w="1361" w:type="dxa"/>
            <w:tcBorders>
              <w:top w:val="nil"/>
              <w:left w:val="nil"/>
              <w:bottom w:val="single" w:sz="8" w:space="0" w:color="A6A6A6"/>
              <w:right w:val="single" w:sz="8" w:space="0" w:color="A6A6A6"/>
            </w:tcBorders>
            <w:shd w:val="clear" w:color="auto" w:fill="auto"/>
            <w:vAlign w:val="center"/>
            <w:hideMark/>
          </w:tcPr>
          <w:p w14:paraId="7DADC4A7" w14:textId="77777777" w:rsidR="00CA0F6F" w:rsidRPr="00CA0F6F" w:rsidRDefault="00CA0F6F" w:rsidP="00CA0F6F">
            <w:pPr>
              <w:spacing w:after="0" w:line="240" w:lineRule="auto"/>
              <w:jc w:val="center"/>
              <w:rPr>
                <w:rFonts w:ascii="Calibri" w:eastAsia="Times New Roman" w:hAnsi="Calibri" w:cs="Calibri"/>
                <w:b/>
                <w:bCs/>
                <w:color w:val="000000"/>
                <w:lang w:eastAsia="es-CO"/>
              </w:rPr>
            </w:pPr>
            <w:r w:rsidRPr="00CA0F6F">
              <w:rPr>
                <w:rFonts w:ascii="Calibri" w:eastAsia="Times New Roman" w:hAnsi="Calibri" w:cs="Calibri"/>
                <w:b/>
                <w:bCs/>
                <w:color w:val="000000"/>
                <w:lang w:eastAsia="es-CO"/>
              </w:rPr>
              <w:t>100%</w:t>
            </w:r>
          </w:p>
        </w:tc>
        <w:tc>
          <w:tcPr>
            <w:tcW w:w="1561" w:type="dxa"/>
            <w:tcBorders>
              <w:top w:val="nil"/>
              <w:left w:val="nil"/>
              <w:bottom w:val="single" w:sz="8" w:space="0" w:color="A6A6A6"/>
              <w:right w:val="single" w:sz="8" w:space="0" w:color="A6A6A6"/>
            </w:tcBorders>
            <w:shd w:val="clear" w:color="auto" w:fill="auto"/>
            <w:noWrap/>
            <w:vAlign w:val="bottom"/>
            <w:hideMark/>
          </w:tcPr>
          <w:p w14:paraId="0E5E290A"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Alcantarillado</w:t>
            </w:r>
          </w:p>
        </w:tc>
        <w:tc>
          <w:tcPr>
            <w:tcW w:w="1407" w:type="dxa"/>
            <w:tcBorders>
              <w:top w:val="nil"/>
              <w:left w:val="nil"/>
              <w:bottom w:val="single" w:sz="8" w:space="0" w:color="A6A6A6"/>
              <w:right w:val="single" w:sz="8" w:space="0" w:color="A6A6A6"/>
            </w:tcBorders>
            <w:shd w:val="clear" w:color="auto" w:fill="auto"/>
            <w:noWrap/>
            <w:vAlign w:val="bottom"/>
            <w:hideMark/>
          </w:tcPr>
          <w:p w14:paraId="4D592D8A"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 xml:space="preserve"> $         42.16 </w:t>
            </w:r>
          </w:p>
        </w:tc>
        <w:tc>
          <w:tcPr>
            <w:tcW w:w="1407" w:type="dxa"/>
            <w:tcBorders>
              <w:top w:val="nil"/>
              <w:left w:val="nil"/>
              <w:bottom w:val="single" w:sz="8" w:space="0" w:color="A6A6A6"/>
              <w:right w:val="single" w:sz="8" w:space="0" w:color="A6A6A6"/>
            </w:tcBorders>
            <w:shd w:val="clear" w:color="auto" w:fill="auto"/>
            <w:noWrap/>
            <w:vAlign w:val="bottom"/>
            <w:hideMark/>
          </w:tcPr>
          <w:p w14:paraId="7134D6DB"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 xml:space="preserve"> $       180.62 </w:t>
            </w:r>
          </w:p>
        </w:tc>
      </w:tr>
    </w:tbl>
    <w:p w14:paraId="69B3E46B" w14:textId="77777777" w:rsidR="00F1696F" w:rsidRPr="00F1696F" w:rsidRDefault="00F1696F" w:rsidP="00F1696F">
      <w:pPr>
        <w:pStyle w:val="Prrafodelista"/>
        <w:rPr>
          <w:rFonts w:ascii="Arial Narrow" w:eastAsia="Times New Roman" w:hAnsi="Arial Narrow" w:cs="Arial"/>
          <w:lang w:val="es-ES" w:eastAsia="es-ES"/>
        </w:rPr>
      </w:pPr>
    </w:p>
    <w:p w14:paraId="17F571FD" w14:textId="7FF25105" w:rsidR="00550833" w:rsidRPr="006F1CC4" w:rsidRDefault="00F1696F" w:rsidP="0069170A">
      <w:pPr>
        <w:pStyle w:val="Prrafodelista"/>
        <w:numPr>
          <w:ilvl w:val="0"/>
          <w:numId w:val="2"/>
        </w:numPr>
        <w:autoSpaceDE w:val="0"/>
        <w:autoSpaceDN w:val="0"/>
        <w:adjustRightInd w:val="0"/>
        <w:spacing w:after="0" w:line="271" w:lineRule="auto"/>
        <w:ind w:left="426"/>
        <w:contextualSpacing w:val="0"/>
        <w:jc w:val="both"/>
        <w:rPr>
          <w:rFonts w:ascii="Arial Narrow" w:hAnsi="Arial Narrow" w:cs="Arial"/>
        </w:rPr>
      </w:pPr>
      <w:r w:rsidRPr="006F1CC4">
        <w:rPr>
          <w:rFonts w:ascii="Arial Narrow" w:eastAsia="Times New Roman" w:hAnsi="Arial Narrow" w:cs="Arial"/>
          <w:lang w:val="es-ES" w:eastAsia="es-ES"/>
        </w:rPr>
        <w:t>Que el costo Medio de Tasas Ambientales (CMT), es un costo adicional a la tarifa, el cual de acuerdo con la normatividad debe modificarse anualmente, sin que ello implique cambios en los cargos tarifarios del Costo Medio de Administración (CMA), Costo Medio de Operación (CMO) y Costo Medio de Inversión (CMI)</w:t>
      </w:r>
      <w:r w:rsidR="006F1CC4">
        <w:rPr>
          <w:rFonts w:ascii="Arial Narrow" w:eastAsia="Times New Roman" w:hAnsi="Arial Narrow" w:cs="Arial"/>
          <w:lang w:val="es-ES" w:eastAsia="es-ES"/>
        </w:rPr>
        <w:t>.</w:t>
      </w:r>
    </w:p>
    <w:p w14:paraId="20DF2E0A" w14:textId="77777777" w:rsidR="001A0968" w:rsidRPr="009C2372" w:rsidRDefault="001A0968" w:rsidP="00BF66CB">
      <w:pPr>
        <w:autoSpaceDE w:val="0"/>
        <w:autoSpaceDN w:val="0"/>
        <w:adjustRightInd w:val="0"/>
        <w:spacing w:after="0" w:line="271" w:lineRule="auto"/>
        <w:jc w:val="both"/>
        <w:rPr>
          <w:rFonts w:ascii="Arial Narrow" w:hAnsi="Arial Narrow" w:cs="Arial"/>
        </w:rPr>
      </w:pPr>
    </w:p>
    <w:p w14:paraId="2CF601FC" w14:textId="77777777" w:rsidR="001A0968" w:rsidRDefault="001A0968" w:rsidP="001A0968">
      <w:pPr>
        <w:numPr>
          <w:ilvl w:val="0"/>
          <w:numId w:val="2"/>
        </w:numPr>
        <w:autoSpaceDE w:val="0"/>
        <w:autoSpaceDN w:val="0"/>
        <w:adjustRightInd w:val="0"/>
        <w:spacing w:after="0" w:line="271" w:lineRule="auto"/>
        <w:ind w:left="426"/>
        <w:jc w:val="both"/>
        <w:rPr>
          <w:rFonts w:ascii="Arial Narrow" w:hAnsi="Arial Narrow" w:cs="Arial"/>
        </w:rPr>
      </w:pPr>
      <w:r>
        <w:rPr>
          <w:rFonts w:ascii="Arial Narrow" w:hAnsi="Arial Narrow" w:cs="Arial"/>
        </w:rPr>
        <w:t xml:space="preserve">Que mediante la </w:t>
      </w:r>
      <w:r w:rsidRPr="00422D38">
        <w:rPr>
          <w:rFonts w:ascii="Arial Narrow" w:hAnsi="Arial Narrow" w:cs="Arial"/>
        </w:rPr>
        <w:t>Resolución CRA 936 de</w:t>
      </w:r>
      <w:r>
        <w:rPr>
          <w:rFonts w:ascii="Arial Narrow" w:hAnsi="Arial Narrow" w:cs="Arial"/>
        </w:rPr>
        <w:t>l 1 de diciembre de</w:t>
      </w:r>
      <w:r w:rsidRPr="00422D38">
        <w:rPr>
          <w:rFonts w:ascii="Arial Narrow" w:hAnsi="Arial Narrow" w:cs="Arial"/>
        </w:rPr>
        <w:t xml:space="preserve"> 2020 </w:t>
      </w:r>
      <w:r w:rsidRPr="007613DD">
        <w:rPr>
          <w:rFonts w:ascii="Arial Narrow" w:hAnsi="Arial Narrow" w:cs="Arial"/>
        </w:rPr>
        <w:t>“</w:t>
      </w:r>
      <w:r w:rsidRPr="007613DD">
        <w:rPr>
          <w:rFonts w:ascii="Arial Narrow" w:hAnsi="Arial Narrow" w:cs="Arial"/>
          <w:i/>
          <w:iCs/>
        </w:rPr>
        <w:t>Por la cual se modifican los artículos 2, 5 y 12 de la Resolución CRA 911 de 2020 y se adicionan los artículos 2 A y 2 B a la misma resolución, con el objeto de establecer los criterios del Plan de Aplicación Gradual y se dictan otras disposiciones</w:t>
      </w:r>
      <w:r w:rsidRPr="007613DD">
        <w:rPr>
          <w:rFonts w:ascii="Arial Narrow" w:hAnsi="Arial Narrow" w:cs="Arial"/>
        </w:rPr>
        <w:t>” se habilit</w:t>
      </w:r>
      <w:r>
        <w:rPr>
          <w:rFonts w:ascii="Arial Narrow" w:hAnsi="Arial Narrow" w:cs="Arial"/>
        </w:rPr>
        <w:t>ó</w:t>
      </w:r>
      <w:r w:rsidRPr="007613DD">
        <w:rPr>
          <w:rFonts w:ascii="Arial Narrow" w:hAnsi="Arial Narrow" w:cs="Arial"/>
        </w:rPr>
        <w:t xml:space="preserve"> a los prestadores de </w:t>
      </w:r>
      <w:r>
        <w:rPr>
          <w:rFonts w:ascii="Arial Narrow" w:hAnsi="Arial Narrow" w:cs="Arial"/>
        </w:rPr>
        <w:t xml:space="preserve">los </w:t>
      </w:r>
      <w:r w:rsidRPr="007613DD">
        <w:rPr>
          <w:rFonts w:ascii="Arial Narrow" w:hAnsi="Arial Narrow" w:cs="Arial"/>
        </w:rPr>
        <w:t xml:space="preserve">servicios públicos domiciliarios </w:t>
      </w:r>
      <w:r>
        <w:rPr>
          <w:rFonts w:ascii="Arial Narrow" w:hAnsi="Arial Narrow" w:cs="Arial"/>
        </w:rPr>
        <w:t>de acueducto y alcantarillado a realizar</w:t>
      </w:r>
      <w:r w:rsidRPr="007613DD">
        <w:rPr>
          <w:rFonts w:ascii="Arial Narrow" w:hAnsi="Arial Narrow" w:cs="Arial"/>
        </w:rPr>
        <w:t xml:space="preserve"> los aumentos</w:t>
      </w:r>
      <w:r>
        <w:rPr>
          <w:rFonts w:ascii="Arial Narrow" w:hAnsi="Arial Narrow" w:cs="Arial"/>
        </w:rPr>
        <w:t xml:space="preserve"> en los costos</w:t>
      </w:r>
      <w:r w:rsidRPr="007613DD">
        <w:rPr>
          <w:rFonts w:ascii="Arial Narrow" w:hAnsi="Arial Narrow" w:cs="Arial"/>
        </w:rPr>
        <w:t xml:space="preserve"> que habían sido suspendidos </w:t>
      </w:r>
      <w:r>
        <w:rPr>
          <w:rFonts w:ascii="Arial Narrow" w:hAnsi="Arial Narrow" w:cs="Arial"/>
        </w:rPr>
        <w:t>por</w:t>
      </w:r>
      <w:r w:rsidRPr="007613DD">
        <w:rPr>
          <w:rFonts w:ascii="Arial Narrow" w:hAnsi="Arial Narrow" w:cs="Arial"/>
        </w:rPr>
        <w:t xml:space="preserve"> la Resolución CRA 911 de 2020.</w:t>
      </w:r>
    </w:p>
    <w:p w14:paraId="45567E42" w14:textId="457ACB39" w:rsidR="00EE7122" w:rsidRPr="00EF27FC" w:rsidRDefault="00EE7122" w:rsidP="00EF27FC">
      <w:pPr>
        <w:pStyle w:val="Prrafodelista"/>
        <w:autoSpaceDE w:val="0"/>
        <w:autoSpaceDN w:val="0"/>
        <w:adjustRightInd w:val="0"/>
        <w:spacing w:after="0" w:line="271" w:lineRule="auto"/>
        <w:ind w:left="426"/>
        <w:contextualSpacing w:val="0"/>
        <w:jc w:val="both"/>
        <w:rPr>
          <w:rFonts w:ascii="Arial Narrow" w:hAnsi="Arial Narrow" w:cs="Arial"/>
        </w:rPr>
      </w:pPr>
    </w:p>
    <w:p w14:paraId="7D7A06FA" w14:textId="4D1186D0" w:rsidR="00BF507E" w:rsidRPr="00EF27FC" w:rsidRDefault="00E252C5" w:rsidP="00EF27FC">
      <w:pPr>
        <w:pStyle w:val="Prrafodelista"/>
        <w:numPr>
          <w:ilvl w:val="0"/>
          <w:numId w:val="2"/>
        </w:numPr>
        <w:autoSpaceDE w:val="0"/>
        <w:autoSpaceDN w:val="0"/>
        <w:adjustRightInd w:val="0"/>
        <w:spacing w:after="0" w:line="271" w:lineRule="auto"/>
        <w:ind w:left="426"/>
        <w:contextualSpacing w:val="0"/>
        <w:jc w:val="both"/>
        <w:rPr>
          <w:rFonts w:ascii="Arial Narrow" w:eastAsia="Times New Roman" w:hAnsi="Arial Narrow" w:cs="Arial"/>
          <w:lang w:val="es-ES" w:eastAsia="es-ES"/>
        </w:rPr>
      </w:pPr>
      <w:r w:rsidRPr="00E3746F">
        <w:rPr>
          <w:rFonts w:ascii="Arial Narrow" w:hAnsi="Arial Narrow" w:cs="ArialMT"/>
        </w:rPr>
        <w:t>Que en cumplimiento de lo previsto en la Le</w:t>
      </w:r>
      <w:r w:rsidR="000122B4" w:rsidRPr="00E3746F">
        <w:rPr>
          <w:rFonts w:ascii="Arial Narrow" w:hAnsi="Arial Narrow" w:cs="ArialMT"/>
        </w:rPr>
        <w:t xml:space="preserve">y 1712 de 2012 y como parte del </w:t>
      </w:r>
      <w:r w:rsidRPr="00E3746F">
        <w:rPr>
          <w:rFonts w:ascii="Arial Narrow" w:hAnsi="Arial Narrow" w:cs="ArialMT"/>
        </w:rPr>
        <w:t>proceso de implementación de la Estrateg</w:t>
      </w:r>
      <w:r w:rsidR="000122B4" w:rsidRPr="00E3746F">
        <w:rPr>
          <w:rFonts w:ascii="Arial Narrow" w:hAnsi="Arial Narrow" w:cs="ArialMT"/>
        </w:rPr>
        <w:t xml:space="preserve">ia de Gobierno en </w:t>
      </w:r>
      <w:r w:rsidR="000122B4" w:rsidRPr="00EF27FC">
        <w:rPr>
          <w:rFonts w:ascii="Arial Narrow" w:hAnsi="Arial Narrow" w:cs="ArialMT"/>
        </w:rPr>
        <w:t xml:space="preserve">Línea en </w:t>
      </w:r>
      <w:r w:rsidR="00EF27FC">
        <w:rPr>
          <w:rFonts w:ascii="Arial Narrow" w:hAnsi="Arial Narrow" w:cs="ArialMT"/>
        </w:rPr>
        <w:t xml:space="preserve">Aguas Regionales S.A. E.S.P., </w:t>
      </w:r>
      <w:r w:rsidRPr="00EF27FC">
        <w:rPr>
          <w:rFonts w:ascii="Arial Narrow" w:hAnsi="Arial Narrow" w:cs="ArialMT"/>
        </w:rPr>
        <w:t>particularmente, en lo que concierne al comp</w:t>
      </w:r>
      <w:r w:rsidR="000122B4" w:rsidRPr="00EF27FC">
        <w:rPr>
          <w:rFonts w:ascii="Arial Narrow" w:hAnsi="Arial Narrow" w:cs="ArialMT"/>
        </w:rPr>
        <w:t xml:space="preserve">onente de «TIC para el Gobierno </w:t>
      </w:r>
      <w:r w:rsidRPr="00EF27FC">
        <w:rPr>
          <w:rFonts w:ascii="Arial Narrow" w:hAnsi="Arial Narrow" w:cs="ArialMT"/>
        </w:rPr>
        <w:t xml:space="preserve">Abierto», el texto del presente decreto fue publicado en la </w:t>
      </w:r>
      <w:r w:rsidR="000122B4" w:rsidRPr="00EF27FC">
        <w:rPr>
          <w:rFonts w:ascii="Arial Narrow" w:hAnsi="Arial Narrow" w:cs="ArialMT"/>
        </w:rPr>
        <w:t xml:space="preserve">página web </w:t>
      </w:r>
      <w:r w:rsidR="00EF27FC" w:rsidRPr="00D95C55">
        <w:rPr>
          <w:rFonts w:ascii="Arial Narrow" w:hAnsi="Arial Narrow" w:cs="ArialMT"/>
          <w:highlight w:val="yellow"/>
        </w:rPr>
        <w:t>www.</w:t>
      </w:r>
      <w:r w:rsidR="00D95C55" w:rsidRPr="00D95C55">
        <w:rPr>
          <w:rFonts w:ascii="Arial Narrow" w:hAnsi="Arial Narrow" w:cs="ArialMT"/>
          <w:highlight w:val="yellow"/>
        </w:rPr>
        <w:t>aguasregionales.com</w:t>
      </w:r>
      <w:r w:rsidRPr="00D95C55">
        <w:rPr>
          <w:rFonts w:ascii="Arial Narrow" w:hAnsi="Arial Narrow" w:cs="ArialMT"/>
          <w:highlight w:val="yellow"/>
        </w:rPr>
        <w:t xml:space="preserve"> </w:t>
      </w:r>
      <w:r w:rsidR="00CD1FC3" w:rsidRPr="00D95C55">
        <w:rPr>
          <w:rFonts w:ascii="Arial Narrow" w:hAnsi="Arial Narrow" w:cs="ArialMT"/>
          <w:highlight w:val="yellow"/>
        </w:rPr>
        <w:t xml:space="preserve">entre el </w:t>
      </w:r>
      <w:r w:rsidR="00740FD1">
        <w:rPr>
          <w:rFonts w:ascii="Arial Narrow" w:hAnsi="Arial Narrow" w:cs="ArialMT"/>
          <w:highlight w:val="yellow"/>
        </w:rPr>
        <w:t>6</w:t>
      </w:r>
      <w:r w:rsidR="004468C2" w:rsidRPr="00D95C55">
        <w:rPr>
          <w:rFonts w:ascii="Arial Narrow" w:hAnsi="Arial Narrow" w:cs="ArialMT"/>
          <w:highlight w:val="yellow"/>
        </w:rPr>
        <w:t xml:space="preserve"> de </w:t>
      </w:r>
      <w:r w:rsidR="00727476">
        <w:rPr>
          <w:rFonts w:ascii="Arial Narrow" w:hAnsi="Arial Narrow" w:cs="ArialMT"/>
          <w:highlight w:val="yellow"/>
        </w:rPr>
        <w:t>enero</w:t>
      </w:r>
      <w:r w:rsidR="00CD1FC3" w:rsidRPr="00D95C55">
        <w:rPr>
          <w:rFonts w:ascii="Arial Narrow" w:hAnsi="Arial Narrow" w:cs="ArialMT"/>
          <w:highlight w:val="yellow"/>
        </w:rPr>
        <w:t xml:space="preserve"> de </w:t>
      </w:r>
      <w:r w:rsidR="00B72C97" w:rsidRPr="00D95C55">
        <w:rPr>
          <w:rFonts w:ascii="Arial Narrow" w:hAnsi="Arial Narrow" w:cs="ArialMT"/>
          <w:highlight w:val="yellow"/>
        </w:rPr>
        <w:t>20</w:t>
      </w:r>
      <w:r w:rsidR="00C62D1C" w:rsidRPr="00D95C55">
        <w:rPr>
          <w:rFonts w:ascii="Arial Narrow" w:hAnsi="Arial Narrow" w:cs="ArialMT"/>
          <w:highlight w:val="yellow"/>
        </w:rPr>
        <w:t>2</w:t>
      </w:r>
      <w:r w:rsidR="00727476">
        <w:rPr>
          <w:rFonts w:ascii="Arial Narrow" w:hAnsi="Arial Narrow" w:cs="ArialMT"/>
          <w:highlight w:val="yellow"/>
        </w:rPr>
        <w:t>1</w:t>
      </w:r>
      <w:r w:rsidR="004468C2" w:rsidRPr="00D95C55">
        <w:rPr>
          <w:rFonts w:ascii="Arial Narrow" w:hAnsi="Arial Narrow" w:cs="ArialMT"/>
          <w:highlight w:val="yellow"/>
        </w:rPr>
        <w:t xml:space="preserve"> y el </w:t>
      </w:r>
      <w:r w:rsidR="00740FD1">
        <w:rPr>
          <w:rFonts w:ascii="Arial Narrow" w:hAnsi="Arial Narrow" w:cs="ArialMT"/>
          <w:highlight w:val="yellow"/>
        </w:rPr>
        <w:t>7</w:t>
      </w:r>
      <w:r w:rsidR="00727476">
        <w:rPr>
          <w:rFonts w:ascii="Arial Narrow" w:hAnsi="Arial Narrow" w:cs="ArialMT"/>
          <w:highlight w:val="yellow"/>
        </w:rPr>
        <w:t xml:space="preserve"> </w:t>
      </w:r>
      <w:r w:rsidR="00484E39">
        <w:rPr>
          <w:rFonts w:ascii="Arial Narrow" w:hAnsi="Arial Narrow" w:cs="ArialMT"/>
          <w:highlight w:val="yellow"/>
        </w:rPr>
        <w:t>de enero de 2021</w:t>
      </w:r>
      <w:r w:rsidR="000122B4" w:rsidRPr="00EF27FC">
        <w:rPr>
          <w:rFonts w:ascii="Arial Narrow" w:hAnsi="Arial Narrow" w:cs="ArialMT"/>
        </w:rPr>
        <w:t xml:space="preserve">, para que los ciudadanos </w:t>
      </w:r>
      <w:r w:rsidRPr="00EF27FC">
        <w:rPr>
          <w:rFonts w:ascii="Arial Narrow" w:hAnsi="Arial Narrow" w:cs="ArialMT"/>
        </w:rPr>
        <w:t>hicieran comentarios y observaciones, si lo c</w:t>
      </w:r>
      <w:r w:rsidR="000122B4" w:rsidRPr="00EF27FC">
        <w:rPr>
          <w:rFonts w:ascii="Arial Narrow" w:hAnsi="Arial Narrow" w:cs="ArialMT"/>
        </w:rPr>
        <w:t xml:space="preserve">onsideraban pertinente. Durante </w:t>
      </w:r>
      <w:r w:rsidRPr="00EF27FC">
        <w:rPr>
          <w:rFonts w:ascii="Arial Narrow" w:hAnsi="Arial Narrow" w:cs="ArialMT"/>
        </w:rPr>
        <w:t xml:space="preserve">dicho término no se recibieron observaciones </w:t>
      </w:r>
      <w:r w:rsidR="000122B4" w:rsidRPr="00EF27FC">
        <w:rPr>
          <w:rFonts w:ascii="Arial Narrow" w:hAnsi="Arial Narrow" w:cs="ArialMT"/>
        </w:rPr>
        <w:t>o comentarios al texto de parte de la ciudadanía.</w:t>
      </w:r>
    </w:p>
    <w:p w14:paraId="4CBA8B73" w14:textId="18C5EC42" w:rsidR="00E87FEB" w:rsidRDefault="00E87FEB" w:rsidP="00E87FEB">
      <w:pPr>
        <w:autoSpaceDE w:val="0"/>
        <w:autoSpaceDN w:val="0"/>
        <w:adjustRightInd w:val="0"/>
        <w:spacing w:after="0" w:line="271" w:lineRule="auto"/>
        <w:jc w:val="both"/>
        <w:rPr>
          <w:rFonts w:ascii="Arial Narrow" w:eastAsia="Times New Roman" w:hAnsi="Arial Narrow" w:cs="Arial"/>
          <w:lang w:val="es-ES" w:eastAsia="es-ES"/>
        </w:rPr>
      </w:pPr>
    </w:p>
    <w:p w14:paraId="5EF80D4B" w14:textId="77777777" w:rsidR="00E87FEB" w:rsidRPr="00E3746F" w:rsidRDefault="00E87FEB" w:rsidP="00E87FEB">
      <w:pPr>
        <w:autoSpaceDE w:val="0"/>
        <w:autoSpaceDN w:val="0"/>
        <w:adjustRightInd w:val="0"/>
        <w:spacing w:after="0" w:line="271" w:lineRule="auto"/>
        <w:jc w:val="both"/>
        <w:rPr>
          <w:rFonts w:ascii="Arial Narrow" w:eastAsia="Times New Roman" w:hAnsi="Arial Narrow" w:cs="Arial"/>
          <w:lang w:val="es-ES" w:eastAsia="es-ES"/>
        </w:rPr>
      </w:pPr>
    </w:p>
    <w:p w14:paraId="3B6A248D" w14:textId="77777777" w:rsidR="00E252C5" w:rsidRPr="00E3746F" w:rsidRDefault="00E252C5" w:rsidP="000122B4">
      <w:pPr>
        <w:autoSpaceDE w:val="0"/>
        <w:autoSpaceDN w:val="0"/>
        <w:adjustRightInd w:val="0"/>
        <w:spacing w:after="0" w:line="240" w:lineRule="auto"/>
        <w:jc w:val="center"/>
        <w:rPr>
          <w:rFonts w:ascii="Arial Narrow" w:hAnsi="Arial Narrow" w:cs="Arial-BoldMT"/>
          <w:b/>
          <w:bCs/>
        </w:rPr>
      </w:pPr>
      <w:r w:rsidRPr="00E3746F">
        <w:rPr>
          <w:rFonts w:ascii="Arial Narrow" w:hAnsi="Arial Narrow" w:cs="Arial-BoldMT"/>
          <w:b/>
          <w:bCs/>
        </w:rPr>
        <w:t>DECRETA</w:t>
      </w:r>
    </w:p>
    <w:p w14:paraId="72090EC2" w14:textId="77777777" w:rsidR="000122B4" w:rsidRPr="00E3746F" w:rsidRDefault="000122B4" w:rsidP="000122B4">
      <w:pPr>
        <w:autoSpaceDE w:val="0"/>
        <w:autoSpaceDN w:val="0"/>
        <w:adjustRightInd w:val="0"/>
        <w:spacing w:after="0" w:line="240" w:lineRule="auto"/>
        <w:jc w:val="center"/>
        <w:rPr>
          <w:rFonts w:ascii="Arial Narrow" w:hAnsi="Arial Narrow" w:cs="Arial-BoldMT"/>
          <w:b/>
          <w:bCs/>
        </w:rPr>
      </w:pPr>
    </w:p>
    <w:p w14:paraId="258E6EAA" w14:textId="53712F0A" w:rsidR="00995022" w:rsidRDefault="001E7F19" w:rsidP="001E7F19">
      <w:pPr>
        <w:autoSpaceDE w:val="0"/>
        <w:autoSpaceDN w:val="0"/>
        <w:adjustRightInd w:val="0"/>
        <w:jc w:val="both"/>
        <w:rPr>
          <w:rFonts w:ascii="Arial Narrow" w:hAnsi="Arial Narrow" w:cs="ArialMT"/>
        </w:rPr>
      </w:pPr>
      <w:r w:rsidRPr="0021174B">
        <w:rPr>
          <w:rFonts w:ascii="Arial Narrow" w:hAnsi="Arial Narrow" w:cs="Arial-BoldMT"/>
          <w:b/>
          <w:bCs/>
        </w:rPr>
        <w:t xml:space="preserve">ARTÍCULO PRIMERO: </w:t>
      </w:r>
      <w:r w:rsidR="00EB6E53" w:rsidRPr="00EB6E53">
        <w:rPr>
          <w:rFonts w:ascii="Arial Narrow" w:hAnsi="Arial Narrow" w:cs="ArialMT"/>
        </w:rPr>
        <w:t>Adoptar la aplicación de los siguientes incrementos reales sobre el Costo Medio de Operación-CMO y el costo medio de Inversión-CMI de la tarifa aplicada para los consumos del mes de enero de 2021. </w:t>
      </w:r>
    </w:p>
    <w:p w14:paraId="2045DB89" w14:textId="3303E31F" w:rsidR="00EB6E53" w:rsidRDefault="00EB6E53" w:rsidP="001E7F19">
      <w:pPr>
        <w:autoSpaceDE w:val="0"/>
        <w:autoSpaceDN w:val="0"/>
        <w:adjustRightInd w:val="0"/>
        <w:jc w:val="both"/>
        <w:rPr>
          <w:rFonts w:ascii="Arial Narrow" w:hAnsi="Arial Narrow" w:cs="ArialMT"/>
        </w:rPr>
      </w:pPr>
    </w:p>
    <w:p w14:paraId="372CF9A0" w14:textId="77777777" w:rsidR="00EB6E53" w:rsidRDefault="00EB6E53" w:rsidP="001E7F19">
      <w:pPr>
        <w:autoSpaceDE w:val="0"/>
        <w:autoSpaceDN w:val="0"/>
        <w:adjustRightInd w:val="0"/>
        <w:jc w:val="both"/>
        <w:rPr>
          <w:rFonts w:ascii="Arial Narrow" w:hAnsi="Arial Narrow" w:cs="ArialMT"/>
        </w:rPr>
      </w:pPr>
      <w:bookmarkStart w:id="1" w:name="_GoBack"/>
      <w:bookmarkEnd w:id="1"/>
    </w:p>
    <w:p w14:paraId="5AC7D3A3" w14:textId="3F0F07AE" w:rsidR="00107CAE" w:rsidRDefault="00107CAE" w:rsidP="001E7F19">
      <w:pPr>
        <w:autoSpaceDE w:val="0"/>
        <w:autoSpaceDN w:val="0"/>
        <w:adjustRightInd w:val="0"/>
        <w:jc w:val="both"/>
        <w:rPr>
          <w:rFonts w:ascii="Arial Narrow" w:hAnsi="Arial Narrow" w:cs="ArialMT"/>
        </w:rPr>
      </w:pPr>
    </w:p>
    <w:p w14:paraId="3EA67487" w14:textId="77777777" w:rsidR="00107CAE" w:rsidRDefault="00107CAE" w:rsidP="001E7F19">
      <w:pPr>
        <w:autoSpaceDE w:val="0"/>
        <w:autoSpaceDN w:val="0"/>
        <w:adjustRightInd w:val="0"/>
        <w:jc w:val="both"/>
        <w:rPr>
          <w:rFonts w:ascii="Arial Narrow" w:hAnsi="Arial Narrow" w:cs="ArialMT"/>
        </w:rPr>
      </w:pPr>
    </w:p>
    <w:tbl>
      <w:tblPr>
        <w:tblW w:w="7672" w:type="dxa"/>
        <w:jc w:val="center"/>
        <w:tblCellMar>
          <w:left w:w="70" w:type="dxa"/>
          <w:right w:w="70" w:type="dxa"/>
        </w:tblCellMar>
        <w:tblLook w:val="04A0" w:firstRow="1" w:lastRow="0" w:firstColumn="1" w:lastColumn="0" w:noHBand="0" w:noVBand="1"/>
      </w:tblPr>
      <w:tblGrid>
        <w:gridCol w:w="1867"/>
        <w:gridCol w:w="2071"/>
        <w:gridCol w:w="1867"/>
        <w:gridCol w:w="1867"/>
      </w:tblGrid>
      <w:tr w:rsidR="00CA0F6F" w:rsidRPr="00CA0F6F" w14:paraId="22764542" w14:textId="77777777" w:rsidTr="00CA0F6F">
        <w:trPr>
          <w:trHeight w:val="346"/>
          <w:jc w:val="center"/>
        </w:trPr>
        <w:tc>
          <w:tcPr>
            <w:tcW w:w="1867" w:type="dxa"/>
            <w:vMerge w:val="restart"/>
            <w:tcBorders>
              <w:top w:val="single" w:sz="4" w:space="0" w:color="FFFFFF"/>
              <w:left w:val="single" w:sz="4" w:space="0" w:color="FFFFFF"/>
              <w:bottom w:val="single" w:sz="4" w:space="0" w:color="FFFFFF"/>
              <w:right w:val="single" w:sz="4" w:space="0" w:color="FFFFFF"/>
            </w:tcBorders>
            <w:shd w:val="clear" w:color="000000" w:fill="A6A6A6"/>
            <w:noWrap/>
            <w:vAlign w:val="center"/>
            <w:hideMark/>
          </w:tcPr>
          <w:p w14:paraId="7ACB0B9C" w14:textId="77777777" w:rsidR="00CA0F6F" w:rsidRPr="00CA0F6F" w:rsidRDefault="00CA0F6F" w:rsidP="00CA0F6F">
            <w:pPr>
              <w:spacing w:after="0" w:line="240" w:lineRule="auto"/>
              <w:jc w:val="center"/>
              <w:rPr>
                <w:rFonts w:ascii="Calibri" w:eastAsia="Times New Roman" w:hAnsi="Calibri" w:cs="Calibri"/>
                <w:b/>
                <w:bCs/>
                <w:color w:val="FFFFFF"/>
                <w:lang w:eastAsia="es-CO"/>
              </w:rPr>
            </w:pPr>
            <w:r w:rsidRPr="00CA0F6F">
              <w:rPr>
                <w:rFonts w:ascii="Calibri" w:eastAsia="Times New Roman" w:hAnsi="Calibri" w:cs="Calibri"/>
                <w:b/>
                <w:bCs/>
                <w:color w:val="FFFFFF"/>
                <w:lang w:eastAsia="es-CO"/>
              </w:rPr>
              <w:lastRenderedPageBreak/>
              <w:t>Municipio</w:t>
            </w:r>
          </w:p>
        </w:tc>
        <w:tc>
          <w:tcPr>
            <w:tcW w:w="2071" w:type="dxa"/>
            <w:vMerge w:val="restart"/>
            <w:tcBorders>
              <w:top w:val="single" w:sz="4" w:space="0" w:color="FFFFFF"/>
              <w:left w:val="single" w:sz="4" w:space="0" w:color="FFFFFF"/>
              <w:bottom w:val="single" w:sz="4" w:space="0" w:color="FFFFFF"/>
              <w:right w:val="single" w:sz="4" w:space="0" w:color="FFFFFF"/>
            </w:tcBorders>
            <w:shd w:val="clear" w:color="000000" w:fill="A6A6A6"/>
            <w:noWrap/>
            <w:vAlign w:val="center"/>
            <w:hideMark/>
          </w:tcPr>
          <w:p w14:paraId="5A894FC3" w14:textId="77777777" w:rsidR="00CA0F6F" w:rsidRPr="00CA0F6F" w:rsidRDefault="00CA0F6F" w:rsidP="00CA0F6F">
            <w:pPr>
              <w:spacing w:after="0" w:line="240" w:lineRule="auto"/>
              <w:jc w:val="center"/>
              <w:rPr>
                <w:rFonts w:ascii="Calibri" w:eastAsia="Times New Roman" w:hAnsi="Calibri" w:cs="Calibri"/>
                <w:b/>
                <w:bCs/>
                <w:color w:val="FFFFFF"/>
                <w:lang w:eastAsia="es-CO"/>
              </w:rPr>
            </w:pPr>
            <w:r w:rsidRPr="00CA0F6F">
              <w:rPr>
                <w:rFonts w:ascii="Calibri" w:eastAsia="Times New Roman" w:hAnsi="Calibri" w:cs="Calibri"/>
                <w:b/>
                <w:bCs/>
                <w:color w:val="FFFFFF"/>
                <w:lang w:eastAsia="es-CO"/>
              </w:rPr>
              <w:t>Servicio</w:t>
            </w:r>
          </w:p>
        </w:tc>
        <w:tc>
          <w:tcPr>
            <w:tcW w:w="3734" w:type="dxa"/>
            <w:gridSpan w:val="2"/>
            <w:tcBorders>
              <w:top w:val="single" w:sz="4" w:space="0" w:color="FFFFFF"/>
              <w:left w:val="nil"/>
              <w:bottom w:val="single" w:sz="4" w:space="0" w:color="FFFFFF"/>
              <w:right w:val="single" w:sz="4" w:space="0" w:color="FFFFFF"/>
            </w:tcBorders>
            <w:shd w:val="clear" w:color="000000" w:fill="A6A6A6"/>
            <w:vAlign w:val="center"/>
            <w:hideMark/>
          </w:tcPr>
          <w:p w14:paraId="60C5E1DA" w14:textId="77777777" w:rsidR="00CA0F6F" w:rsidRPr="00CA0F6F" w:rsidRDefault="00CA0F6F" w:rsidP="00CA0F6F">
            <w:pPr>
              <w:spacing w:after="0" w:line="240" w:lineRule="auto"/>
              <w:jc w:val="center"/>
              <w:rPr>
                <w:rFonts w:ascii="Calibri" w:eastAsia="Times New Roman" w:hAnsi="Calibri" w:cs="Calibri"/>
                <w:b/>
                <w:bCs/>
                <w:color w:val="FFFFFF"/>
                <w:lang w:eastAsia="es-CO"/>
              </w:rPr>
            </w:pPr>
            <w:r w:rsidRPr="00CA0F6F">
              <w:rPr>
                <w:rFonts w:ascii="Calibri" w:eastAsia="Times New Roman" w:hAnsi="Calibri" w:cs="Calibri"/>
                <w:b/>
                <w:bCs/>
                <w:color w:val="FFFFFF"/>
                <w:lang w:eastAsia="es-CO"/>
              </w:rPr>
              <w:t xml:space="preserve"> Aprobación Senda </w:t>
            </w:r>
          </w:p>
        </w:tc>
      </w:tr>
      <w:tr w:rsidR="00CA0F6F" w:rsidRPr="00CA0F6F" w14:paraId="71A0F050" w14:textId="77777777" w:rsidTr="00CA0F6F">
        <w:trPr>
          <w:trHeight w:val="169"/>
          <w:jc w:val="center"/>
        </w:trPr>
        <w:tc>
          <w:tcPr>
            <w:tcW w:w="1867" w:type="dxa"/>
            <w:vMerge/>
            <w:tcBorders>
              <w:top w:val="single" w:sz="4" w:space="0" w:color="FFFFFF"/>
              <w:left w:val="single" w:sz="4" w:space="0" w:color="FFFFFF"/>
              <w:bottom w:val="single" w:sz="4" w:space="0" w:color="FFFFFF"/>
              <w:right w:val="single" w:sz="4" w:space="0" w:color="FFFFFF"/>
            </w:tcBorders>
            <w:vAlign w:val="center"/>
            <w:hideMark/>
          </w:tcPr>
          <w:p w14:paraId="2E4BBF62" w14:textId="77777777" w:rsidR="00CA0F6F" w:rsidRPr="00CA0F6F" w:rsidRDefault="00CA0F6F" w:rsidP="00CA0F6F">
            <w:pPr>
              <w:spacing w:after="0" w:line="240" w:lineRule="auto"/>
              <w:rPr>
                <w:rFonts w:ascii="Calibri" w:eastAsia="Times New Roman" w:hAnsi="Calibri" w:cs="Calibri"/>
                <w:b/>
                <w:bCs/>
                <w:color w:val="FFFFFF"/>
                <w:lang w:eastAsia="es-CO"/>
              </w:rPr>
            </w:pPr>
          </w:p>
        </w:tc>
        <w:tc>
          <w:tcPr>
            <w:tcW w:w="2071" w:type="dxa"/>
            <w:vMerge/>
            <w:tcBorders>
              <w:top w:val="single" w:sz="4" w:space="0" w:color="FFFFFF"/>
              <w:left w:val="single" w:sz="4" w:space="0" w:color="FFFFFF"/>
              <w:bottom w:val="single" w:sz="4" w:space="0" w:color="FFFFFF"/>
              <w:right w:val="single" w:sz="4" w:space="0" w:color="FFFFFF"/>
            </w:tcBorders>
            <w:vAlign w:val="center"/>
            <w:hideMark/>
          </w:tcPr>
          <w:p w14:paraId="2AF9D43E" w14:textId="77777777" w:rsidR="00CA0F6F" w:rsidRPr="00CA0F6F" w:rsidRDefault="00CA0F6F" w:rsidP="00CA0F6F">
            <w:pPr>
              <w:spacing w:after="0" w:line="240" w:lineRule="auto"/>
              <w:rPr>
                <w:rFonts w:ascii="Calibri" w:eastAsia="Times New Roman" w:hAnsi="Calibri" w:cs="Calibri"/>
                <w:b/>
                <w:bCs/>
                <w:color w:val="FFFFFF"/>
                <w:lang w:eastAsia="es-CO"/>
              </w:rPr>
            </w:pPr>
          </w:p>
        </w:tc>
        <w:tc>
          <w:tcPr>
            <w:tcW w:w="1867" w:type="dxa"/>
            <w:tcBorders>
              <w:top w:val="nil"/>
              <w:left w:val="nil"/>
              <w:bottom w:val="single" w:sz="4" w:space="0" w:color="FFFFFF"/>
              <w:right w:val="single" w:sz="4" w:space="0" w:color="FFFFFF"/>
            </w:tcBorders>
            <w:shd w:val="clear" w:color="000000" w:fill="A6A6A6"/>
            <w:vAlign w:val="center"/>
            <w:hideMark/>
          </w:tcPr>
          <w:p w14:paraId="4D50067F" w14:textId="77777777" w:rsidR="00CA0F6F" w:rsidRPr="00CA0F6F" w:rsidRDefault="00CA0F6F" w:rsidP="00CA0F6F">
            <w:pPr>
              <w:spacing w:after="0" w:line="240" w:lineRule="auto"/>
              <w:jc w:val="center"/>
              <w:rPr>
                <w:rFonts w:ascii="Calibri" w:eastAsia="Times New Roman" w:hAnsi="Calibri" w:cs="Calibri"/>
                <w:b/>
                <w:bCs/>
                <w:color w:val="FFFFFF"/>
                <w:lang w:eastAsia="es-CO"/>
              </w:rPr>
            </w:pPr>
            <w:r w:rsidRPr="00CA0F6F">
              <w:rPr>
                <w:rFonts w:ascii="Calibri" w:eastAsia="Times New Roman" w:hAnsi="Calibri" w:cs="Calibri"/>
                <w:b/>
                <w:bCs/>
                <w:color w:val="FFFFFF"/>
                <w:lang w:eastAsia="es-CO"/>
              </w:rPr>
              <w:t xml:space="preserve"> CMO </w:t>
            </w:r>
          </w:p>
        </w:tc>
        <w:tc>
          <w:tcPr>
            <w:tcW w:w="1867" w:type="dxa"/>
            <w:tcBorders>
              <w:top w:val="nil"/>
              <w:left w:val="nil"/>
              <w:bottom w:val="single" w:sz="4" w:space="0" w:color="FFFFFF"/>
              <w:right w:val="single" w:sz="4" w:space="0" w:color="FFFFFF"/>
            </w:tcBorders>
            <w:shd w:val="clear" w:color="000000" w:fill="A6A6A6"/>
            <w:vAlign w:val="center"/>
            <w:hideMark/>
          </w:tcPr>
          <w:p w14:paraId="121603EA" w14:textId="77777777" w:rsidR="00CA0F6F" w:rsidRPr="00CA0F6F" w:rsidRDefault="00CA0F6F" w:rsidP="00CA0F6F">
            <w:pPr>
              <w:spacing w:after="0" w:line="240" w:lineRule="auto"/>
              <w:jc w:val="center"/>
              <w:rPr>
                <w:rFonts w:ascii="Calibri" w:eastAsia="Times New Roman" w:hAnsi="Calibri" w:cs="Calibri"/>
                <w:b/>
                <w:bCs/>
                <w:color w:val="FFFFFF"/>
                <w:lang w:eastAsia="es-CO"/>
              </w:rPr>
            </w:pPr>
            <w:r w:rsidRPr="00CA0F6F">
              <w:rPr>
                <w:rFonts w:ascii="Calibri" w:eastAsia="Times New Roman" w:hAnsi="Calibri" w:cs="Calibri"/>
                <w:b/>
                <w:bCs/>
                <w:color w:val="FFFFFF"/>
                <w:lang w:eastAsia="es-CO"/>
              </w:rPr>
              <w:t xml:space="preserve"> CMI </w:t>
            </w:r>
          </w:p>
        </w:tc>
      </w:tr>
      <w:tr w:rsidR="00CA0F6F" w:rsidRPr="00CA0F6F" w14:paraId="79CADECA" w14:textId="77777777" w:rsidTr="00CA0F6F">
        <w:trPr>
          <w:trHeight w:val="198"/>
          <w:jc w:val="center"/>
        </w:trPr>
        <w:tc>
          <w:tcPr>
            <w:tcW w:w="1867"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63011C4" w14:textId="77777777" w:rsidR="00CA0F6F" w:rsidRPr="00CA0F6F" w:rsidRDefault="00CA0F6F" w:rsidP="00CA0F6F">
            <w:pPr>
              <w:spacing w:after="0" w:line="240" w:lineRule="auto"/>
              <w:rPr>
                <w:rFonts w:ascii="Calibri" w:eastAsia="Times New Roman" w:hAnsi="Calibri" w:cs="Calibri"/>
                <w:b/>
                <w:bCs/>
                <w:color w:val="000000"/>
                <w:lang w:eastAsia="es-CO"/>
              </w:rPr>
            </w:pPr>
            <w:r w:rsidRPr="00CA0F6F">
              <w:rPr>
                <w:rFonts w:ascii="Calibri" w:eastAsia="Times New Roman" w:hAnsi="Calibri" w:cs="Calibri"/>
                <w:b/>
                <w:bCs/>
                <w:color w:val="000000"/>
                <w:lang w:eastAsia="es-CO"/>
              </w:rPr>
              <w:t>Carepa</w:t>
            </w:r>
          </w:p>
        </w:tc>
        <w:tc>
          <w:tcPr>
            <w:tcW w:w="2071" w:type="dxa"/>
            <w:tcBorders>
              <w:top w:val="nil"/>
              <w:left w:val="nil"/>
              <w:bottom w:val="single" w:sz="8" w:space="0" w:color="A6A6A6"/>
              <w:right w:val="single" w:sz="8" w:space="0" w:color="A6A6A6"/>
            </w:tcBorders>
            <w:shd w:val="clear" w:color="auto" w:fill="auto"/>
            <w:noWrap/>
            <w:vAlign w:val="bottom"/>
            <w:hideMark/>
          </w:tcPr>
          <w:p w14:paraId="3D266AD7"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Acueducto</w:t>
            </w:r>
          </w:p>
        </w:tc>
        <w:tc>
          <w:tcPr>
            <w:tcW w:w="1867" w:type="dxa"/>
            <w:tcBorders>
              <w:top w:val="nil"/>
              <w:left w:val="nil"/>
              <w:bottom w:val="single" w:sz="8" w:space="0" w:color="A6A6A6"/>
              <w:right w:val="single" w:sz="8" w:space="0" w:color="A6A6A6"/>
            </w:tcBorders>
            <w:shd w:val="clear" w:color="auto" w:fill="auto"/>
            <w:noWrap/>
            <w:vAlign w:val="bottom"/>
            <w:hideMark/>
          </w:tcPr>
          <w:p w14:paraId="05DD7D65"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 xml:space="preserve"> $         55.22 </w:t>
            </w:r>
          </w:p>
        </w:tc>
        <w:tc>
          <w:tcPr>
            <w:tcW w:w="1867" w:type="dxa"/>
            <w:tcBorders>
              <w:top w:val="nil"/>
              <w:left w:val="nil"/>
              <w:bottom w:val="single" w:sz="8" w:space="0" w:color="A6A6A6"/>
              <w:right w:val="single" w:sz="8" w:space="0" w:color="A6A6A6"/>
            </w:tcBorders>
            <w:shd w:val="clear" w:color="auto" w:fill="auto"/>
            <w:noWrap/>
            <w:vAlign w:val="bottom"/>
            <w:hideMark/>
          </w:tcPr>
          <w:p w14:paraId="1D204384"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 xml:space="preserve"> $         62.51 </w:t>
            </w:r>
          </w:p>
        </w:tc>
      </w:tr>
      <w:tr w:rsidR="00CA0F6F" w:rsidRPr="00CA0F6F" w14:paraId="20EC465F" w14:textId="77777777" w:rsidTr="00CA0F6F">
        <w:trPr>
          <w:trHeight w:val="198"/>
          <w:jc w:val="center"/>
        </w:trPr>
        <w:tc>
          <w:tcPr>
            <w:tcW w:w="1867" w:type="dxa"/>
            <w:vMerge/>
            <w:tcBorders>
              <w:top w:val="nil"/>
              <w:left w:val="single" w:sz="8" w:space="0" w:color="A6A6A6"/>
              <w:bottom w:val="single" w:sz="8" w:space="0" w:color="A6A6A6"/>
              <w:right w:val="single" w:sz="8" w:space="0" w:color="A6A6A6"/>
            </w:tcBorders>
            <w:vAlign w:val="center"/>
            <w:hideMark/>
          </w:tcPr>
          <w:p w14:paraId="76D1E24A" w14:textId="77777777" w:rsidR="00CA0F6F" w:rsidRPr="00CA0F6F" w:rsidRDefault="00CA0F6F" w:rsidP="00CA0F6F">
            <w:pPr>
              <w:spacing w:after="0" w:line="240" w:lineRule="auto"/>
              <w:rPr>
                <w:rFonts w:ascii="Calibri" w:eastAsia="Times New Roman" w:hAnsi="Calibri" w:cs="Calibri"/>
                <w:b/>
                <w:bCs/>
                <w:color w:val="000000"/>
                <w:lang w:eastAsia="es-CO"/>
              </w:rPr>
            </w:pPr>
          </w:p>
        </w:tc>
        <w:tc>
          <w:tcPr>
            <w:tcW w:w="2071" w:type="dxa"/>
            <w:tcBorders>
              <w:top w:val="nil"/>
              <w:left w:val="nil"/>
              <w:bottom w:val="single" w:sz="8" w:space="0" w:color="A6A6A6"/>
              <w:right w:val="single" w:sz="8" w:space="0" w:color="A6A6A6"/>
            </w:tcBorders>
            <w:shd w:val="clear" w:color="auto" w:fill="auto"/>
            <w:noWrap/>
            <w:vAlign w:val="bottom"/>
            <w:hideMark/>
          </w:tcPr>
          <w:p w14:paraId="6CE33B46"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Alcantarillado</w:t>
            </w:r>
          </w:p>
        </w:tc>
        <w:tc>
          <w:tcPr>
            <w:tcW w:w="1867" w:type="dxa"/>
            <w:tcBorders>
              <w:top w:val="nil"/>
              <w:left w:val="nil"/>
              <w:bottom w:val="single" w:sz="8" w:space="0" w:color="A6A6A6"/>
              <w:right w:val="single" w:sz="8" w:space="0" w:color="A6A6A6"/>
            </w:tcBorders>
            <w:shd w:val="clear" w:color="auto" w:fill="auto"/>
            <w:noWrap/>
            <w:vAlign w:val="bottom"/>
            <w:hideMark/>
          </w:tcPr>
          <w:p w14:paraId="6465D926"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 xml:space="preserve"> $         15.44 </w:t>
            </w:r>
          </w:p>
        </w:tc>
        <w:tc>
          <w:tcPr>
            <w:tcW w:w="1867" w:type="dxa"/>
            <w:tcBorders>
              <w:top w:val="nil"/>
              <w:left w:val="nil"/>
              <w:bottom w:val="single" w:sz="8" w:space="0" w:color="A6A6A6"/>
              <w:right w:val="single" w:sz="8" w:space="0" w:color="A6A6A6"/>
            </w:tcBorders>
            <w:shd w:val="clear" w:color="auto" w:fill="auto"/>
            <w:noWrap/>
            <w:vAlign w:val="bottom"/>
            <w:hideMark/>
          </w:tcPr>
          <w:p w14:paraId="32487639"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 xml:space="preserve"> $       111.68 </w:t>
            </w:r>
          </w:p>
        </w:tc>
      </w:tr>
      <w:tr w:rsidR="00CA0F6F" w:rsidRPr="00CA0F6F" w14:paraId="0C7E94B7" w14:textId="77777777" w:rsidTr="00CA0F6F">
        <w:trPr>
          <w:trHeight w:val="198"/>
          <w:jc w:val="center"/>
        </w:trPr>
        <w:tc>
          <w:tcPr>
            <w:tcW w:w="1867" w:type="dxa"/>
            <w:tcBorders>
              <w:top w:val="nil"/>
              <w:left w:val="single" w:sz="8" w:space="0" w:color="A6A6A6"/>
              <w:bottom w:val="single" w:sz="8" w:space="0" w:color="A6A6A6"/>
              <w:right w:val="single" w:sz="8" w:space="0" w:color="A6A6A6"/>
            </w:tcBorders>
            <w:shd w:val="clear" w:color="auto" w:fill="auto"/>
            <w:vAlign w:val="center"/>
            <w:hideMark/>
          </w:tcPr>
          <w:p w14:paraId="23545FF0" w14:textId="77777777" w:rsidR="00CA0F6F" w:rsidRPr="00CA0F6F" w:rsidRDefault="00CA0F6F" w:rsidP="00CA0F6F">
            <w:pPr>
              <w:spacing w:after="0" w:line="240" w:lineRule="auto"/>
              <w:rPr>
                <w:rFonts w:ascii="Calibri" w:eastAsia="Times New Roman" w:hAnsi="Calibri" w:cs="Calibri"/>
                <w:b/>
                <w:bCs/>
                <w:color w:val="000000"/>
                <w:lang w:eastAsia="es-CO"/>
              </w:rPr>
            </w:pPr>
            <w:r w:rsidRPr="00CA0F6F">
              <w:rPr>
                <w:rFonts w:ascii="Calibri" w:eastAsia="Times New Roman" w:hAnsi="Calibri" w:cs="Calibri"/>
                <w:b/>
                <w:bCs/>
                <w:color w:val="000000"/>
                <w:lang w:eastAsia="es-CO"/>
              </w:rPr>
              <w:t xml:space="preserve">Mutatá </w:t>
            </w:r>
          </w:p>
        </w:tc>
        <w:tc>
          <w:tcPr>
            <w:tcW w:w="2071" w:type="dxa"/>
            <w:tcBorders>
              <w:top w:val="nil"/>
              <w:left w:val="nil"/>
              <w:bottom w:val="single" w:sz="8" w:space="0" w:color="A6A6A6"/>
              <w:right w:val="single" w:sz="8" w:space="0" w:color="A6A6A6"/>
            </w:tcBorders>
            <w:shd w:val="clear" w:color="auto" w:fill="auto"/>
            <w:noWrap/>
            <w:vAlign w:val="bottom"/>
            <w:hideMark/>
          </w:tcPr>
          <w:p w14:paraId="76F14137"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Alcantarillado</w:t>
            </w:r>
          </w:p>
        </w:tc>
        <w:tc>
          <w:tcPr>
            <w:tcW w:w="1867" w:type="dxa"/>
            <w:tcBorders>
              <w:top w:val="nil"/>
              <w:left w:val="nil"/>
              <w:bottom w:val="single" w:sz="8" w:space="0" w:color="A6A6A6"/>
              <w:right w:val="single" w:sz="8" w:space="0" w:color="A6A6A6"/>
            </w:tcBorders>
            <w:shd w:val="clear" w:color="auto" w:fill="auto"/>
            <w:noWrap/>
            <w:vAlign w:val="bottom"/>
            <w:hideMark/>
          </w:tcPr>
          <w:p w14:paraId="205FE2AE"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 xml:space="preserve"> $         46.43 </w:t>
            </w:r>
          </w:p>
        </w:tc>
        <w:tc>
          <w:tcPr>
            <w:tcW w:w="1867" w:type="dxa"/>
            <w:tcBorders>
              <w:top w:val="nil"/>
              <w:left w:val="nil"/>
              <w:bottom w:val="single" w:sz="8" w:space="0" w:color="A6A6A6"/>
              <w:right w:val="single" w:sz="8" w:space="0" w:color="A6A6A6"/>
            </w:tcBorders>
            <w:shd w:val="clear" w:color="auto" w:fill="auto"/>
            <w:noWrap/>
            <w:vAlign w:val="bottom"/>
            <w:hideMark/>
          </w:tcPr>
          <w:p w14:paraId="1987DEE4"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 xml:space="preserve"> $       147.69 </w:t>
            </w:r>
          </w:p>
        </w:tc>
      </w:tr>
      <w:tr w:rsidR="00CA0F6F" w:rsidRPr="00CA0F6F" w14:paraId="0224F5E1" w14:textId="77777777" w:rsidTr="00CA0F6F">
        <w:trPr>
          <w:trHeight w:val="198"/>
          <w:jc w:val="center"/>
        </w:trPr>
        <w:tc>
          <w:tcPr>
            <w:tcW w:w="1867"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6F1BF9AF" w14:textId="77777777" w:rsidR="00CA0F6F" w:rsidRPr="00CA0F6F" w:rsidRDefault="00CA0F6F" w:rsidP="00CA0F6F">
            <w:pPr>
              <w:spacing w:after="0" w:line="240" w:lineRule="auto"/>
              <w:rPr>
                <w:rFonts w:ascii="Calibri" w:eastAsia="Times New Roman" w:hAnsi="Calibri" w:cs="Calibri"/>
                <w:b/>
                <w:bCs/>
                <w:color w:val="000000"/>
                <w:lang w:eastAsia="es-CO"/>
              </w:rPr>
            </w:pPr>
            <w:r w:rsidRPr="00CA0F6F">
              <w:rPr>
                <w:rFonts w:ascii="Calibri" w:eastAsia="Times New Roman" w:hAnsi="Calibri" w:cs="Calibri"/>
                <w:b/>
                <w:bCs/>
                <w:color w:val="000000"/>
                <w:lang w:eastAsia="es-CO"/>
              </w:rPr>
              <w:t xml:space="preserve">Olaya </w:t>
            </w:r>
          </w:p>
        </w:tc>
        <w:tc>
          <w:tcPr>
            <w:tcW w:w="2071" w:type="dxa"/>
            <w:tcBorders>
              <w:top w:val="nil"/>
              <w:left w:val="nil"/>
              <w:bottom w:val="single" w:sz="8" w:space="0" w:color="A6A6A6"/>
              <w:right w:val="single" w:sz="8" w:space="0" w:color="A6A6A6"/>
            </w:tcBorders>
            <w:shd w:val="clear" w:color="auto" w:fill="auto"/>
            <w:noWrap/>
            <w:vAlign w:val="bottom"/>
            <w:hideMark/>
          </w:tcPr>
          <w:p w14:paraId="1F469A2C"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Acueducto</w:t>
            </w:r>
          </w:p>
        </w:tc>
        <w:tc>
          <w:tcPr>
            <w:tcW w:w="1867" w:type="dxa"/>
            <w:tcBorders>
              <w:top w:val="nil"/>
              <w:left w:val="nil"/>
              <w:bottom w:val="single" w:sz="8" w:space="0" w:color="A6A6A6"/>
              <w:right w:val="single" w:sz="8" w:space="0" w:color="A6A6A6"/>
            </w:tcBorders>
            <w:shd w:val="clear" w:color="auto" w:fill="auto"/>
            <w:noWrap/>
            <w:vAlign w:val="bottom"/>
            <w:hideMark/>
          </w:tcPr>
          <w:p w14:paraId="72955D87"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 xml:space="preserve"> $       270.99 </w:t>
            </w:r>
          </w:p>
        </w:tc>
        <w:tc>
          <w:tcPr>
            <w:tcW w:w="1867" w:type="dxa"/>
            <w:tcBorders>
              <w:top w:val="nil"/>
              <w:left w:val="nil"/>
              <w:bottom w:val="single" w:sz="8" w:space="0" w:color="A6A6A6"/>
              <w:right w:val="single" w:sz="8" w:space="0" w:color="A6A6A6"/>
            </w:tcBorders>
            <w:shd w:val="clear" w:color="auto" w:fill="auto"/>
            <w:noWrap/>
            <w:vAlign w:val="bottom"/>
            <w:hideMark/>
          </w:tcPr>
          <w:p w14:paraId="6731F22F"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 xml:space="preserve"> $       311.14 </w:t>
            </w:r>
          </w:p>
        </w:tc>
      </w:tr>
      <w:tr w:rsidR="00CA0F6F" w:rsidRPr="00CA0F6F" w14:paraId="3C983F6C" w14:textId="77777777" w:rsidTr="00CA0F6F">
        <w:trPr>
          <w:trHeight w:val="198"/>
          <w:jc w:val="center"/>
        </w:trPr>
        <w:tc>
          <w:tcPr>
            <w:tcW w:w="1867" w:type="dxa"/>
            <w:vMerge/>
            <w:tcBorders>
              <w:top w:val="nil"/>
              <w:left w:val="single" w:sz="8" w:space="0" w:color="A6A6A6"/>
              <w:bottom w:val="single" w:sz="8" w:space="0" w:color="A6A6A6"/>
              <w:right w:val="single" w:sz="8" w:space="0" w:color="A6A6A6"/>
            </w:tcBorders>
            <w:vAlign w:val="center"/>
            <w:hideMark/>
          </w:tcPr>
          <w:p w14:paraId="5EF9756E" w14:textId="77777777" w:rsidR="00CA0F6F" w:rsidRPr="00CA0F6F" w:rsidRDefault="00CA0F6F" w:rsidP="00CA0F6F">
            <w:pPr>
              <w:spacing w:after="0" w:line="240" w:lineRule="auto"/>
              <w:rPr>
                <w:rFonts w:ascii="Calibri" w:eastAsia="Times New Roman" w:hAnsi="Calibri" w:cs="Calibri"/>
                <w:b/>
                <w:bCs/>
                <w:color w:val="000000"/>
                <w:lang w:eastAsia="es-CO"/>
              </w:rPr>
            </w:pPr>
          </w:p>
        </w:tc>
        <w:tc>
          <w:tcPr>
            <w:tcW w:w="2071" w:type="dxa"/>
            <w:tcBorders>
              <w:top w:val="nil"/>
              <w:left w:val="nil"/>
              <w:bottom w:val="single" w:sz="8" w:space="0" w:color="A6A6A6"/>
              <w:right w:val="single" w:sz="8" w:space="0" w:color="A6A6A6"/>
            </w:tcBorders>
            <w:shd w:val="clear" w:color="auto" w:fill="auto"/>
            <w:noWrap/>
            <w:vAlign w:val="bottom"/>
            <w:hideMark/>
          </w:tcPr>
          <w:p w14:paraId="231ADBC0"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Alcantarillado</w:t>
            </w:r>
          </w:p>
        </w:tc>
        <w:tc>
          <w:tcPr>
            <w:tcW w:w="1867" w:type="dxa"/>
            <w:tcBorders>
              <w:top w:val="nil"/>
              <w:left w:val="nil"/>
              <w:bottom w:val="single" w:sz="8" w:space="0" w:color="A6A6A6"/>
              <w:right w:val="single" w:sz="8" w:space="0" w:color="A6A6A6"/>
            </w:tcBorders>
            <w:shd w:val="clear" w:color="auto" w:fill="auto"/>
            <w:noWrap/>
            <w:vAlign w:val="bottom"/>
            <w:hideMark/>
          </w:tcPr>
          <w:p w14:paraId="586D169C"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 xml:space="preserve"> $       166.78 </w:t>
            </w:r>
          </w:p>
        </w:tc>
        <w:tc>
          <w:tcPr>
            <w:tcW w:w="1867" w:type="dxa"/>
            <w:tcBorders>
              <w:top w:val="nil"/>
              <w:left w:val="nil"/>
              <w:bottom w:val="single" w:sz="8" w:space="0" w:color="A6A6A6"/>
              <w:right w:val="single" w:sz="8" w:space="0" w:color="A6A6A6"/>
            </w:tcBorders>
            <w:shd w:val="clear" w:color="auto" w:fill="auto"/>
            <w:noWrap/>
            <w:vAlign w:val="bottom"/>
            <w:hideMark/>
          </w:tcPr>
          <w:p w14:paraId="6C0951E9"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 xml:space="preserve"> $       426.81 </w:t>
            </w:r>
          </w:p>
        </w:tc>
      </w:tr>
      <w:tr w:rsidR="00CA0F6F" w:rsidRPr="00CA0F6F" w14:paraId="79CE48C4" w14:textId="77777777" w:rsidTr="00CA0F6F">
        <w:trPr>
          <w:trHeight w:val="198"/>
          <w:jc w:val="center"/>
        </w:trPr>
        <w:tc>
          <w:tcPr>
            <w:tcW w:w="1867" w:type="dxa"/>
            <w:tcBorders>
              <w:top w:val="nil"/>
              <w:left w:val="single" w:sz="8" w:space="0" w:color="A6A6A6"/>
              <w:bottom w:val="single" w:sz="8" w:space="0" w:color="A6A6A6"/>
              <w:right w:val="single" w:sz="8" w:space="0" w:color="A6A6A6"/>
            </w:tcBorders>
            <w:shd w:val="clear" w:color="auto" w:fill="auto"/>
            <w:vAlign w:val="center"/>
            <w:hideMark/>
          </w:tcPr>
          <w:p w14:paraId="37C5DBBD" w14:textId="77777777" w:rsidR="00CA0F6F" w:rsidRPr="00CA0F6F" w:rsidRDefault="00CA0F6F" w:rsidP="00CA0F6F">
            <w:pPr>
              <w:spacing w:after="0" w:line="240" w:lineRule="auto"/>
              <w:rPr>
                <w:rFonts w:ascii="Calibri" w:eastAsia="Times New Roman" w:hAnsi="Calibri" w:cs="Calibri"/>
                <w:b/>
                <w:bCs/>
                <w:color w:val="000000"/>
                <w:lang w:eastAsia="es-CO"/>
              </w:rPr>
            </w:pPr>
            <w:r w:rsidRPr="00CA0F6F">
              <w:rPr>
                <w:rFonts w:ascii="Calibri" w:eastAsia="Times New Roman" w:hAnsi="Calibri" w:cs="Calibri"/>
                <w:b/>
                <w:bCs/>
                <w:color w:val="000000"/>
                <w:lang w:eastAsia="es-CO"/>
              </w:rPr>
              <w:t xml:space="preserve">San Jerónimo </w:t>
            </w:r>
          </w:p>
        </w:tc>
        <w:tc>
          <w:tcPr>
            <w:tcW w:w="2071" w:type="dxa"/>
            <w:tcBorders>
              <w:top w:val="nil"/>
              <w:left w:val="nil"/>
              <w:bottom w:val="single" w:sz="8" w:space="0" w:color="A6A6A6"/>
              <w:right w:val="single" w:sz="8" w:space="0" w:color="A6A6A6"/>
            </w:tcBorders>
            <w:shd w:val="clear" w:color="auto" w:fill="auto"/>
            <w:noWrap/>
            <w:vAlign w:val="bottom"/>
            <w:hideMark/>
          </w:tcPr>
          <w:p w14:paraId="3C8BC2C5"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Alcantarillado</w:t>
            </w:r>
          </w:p>
        </w:tc>
        <w:tc>
          <w:tcPr>
            <w:tcW w:w="1867" w:type="dxa"/>
            <w:tcBorders>
              <w:top w:val="nil"/>
              <w:left w:val="nil"/>
              <w:bottom w:val="single" w:sz="8" w:space="0" w:color="A6A6A6"/>
              <w:right w:val="single" w:sz="8" w:space="0" w:color="A6A6A6"/>
            </w:tcBorders>
            <w:shd w:val="clear" w:color="auto" w:fill="auto"/>
            <w:noWrap/>
            <w:vAlign w:val="bottom"/>
            <w:hideMark/>
          </w:tcPr>
          <w:p w14:paraId="58BBC2A0"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 xml:space="preserve"> $         31.67 </w:t>
            </w:r>
          </w:p>
        </w:tc>
        <w:tc>
          <w:tcPr>
            <w:tcW w:w="1867" w:type="dxa"/>
            <w:tcBorders>
              <w:top w:val="nil"/>
              <w:left w:val="nil"/>
              <w:bottom w:val="single" w:sz="8" w:space="0" w:color="A6A6A6"/>
              <w:right w:val="single" w:sz="8" w:space="0" w:color="A6A6A6"/>
            </w:tcBorders>
            <w:shd w:val="clear" w:color="auto" w:fill="auto"/>
            <w:noWrap/>
            <w:vAlign w:val="bottom"/>
            <w:hideMark/>
          </w:tcPr>
          <w:p w14:paraId="362663C5"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 xml:space="preserve"> $       236.79 </w:t>
            </w:r>
          </w:p>
        </w:tc>
      </w:tr>
      <w:tr w:rsidR="00CA0F6F" w:rsidRPr="00CA0F6F" w14:paraId="41192C34" w14:textId="77777777" w:rsidTr="00CA0F6F">
        <w:trPr>
          <w:trHeight w:val="198"/>
          <w:jc w:val="center"/>
        </w:trPr>
        <w:tc>
          <w:tcPr>
            <w:tcW w:w="1867"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9CA7CFD" w14:textId="77777777" w:rsidR="00CA0F6F" w:rsidRPr="00CA0F6F" w:rsidRDefault="00CA0F6F" w:rsidP="00CA0F6F">
            <w:pPr>
              <w:spacing w:after="0" w:line="240" w:lineRule="auto"/>
              <w:rPr>
                <w:rFonts w:ascii="Calibri" w:eastAsia="Times New Roman" w:hAnsi="Calibri" w:cs="Calibri"/>
                <w:b/>
                <w:bCs/>
                <w:color w:val="000000"/>
                <w:lang w:eastAsia="es-CO"/>
              </w:rPr>
            </w:pPr>
            <w:r w:rsidRPr="00CA0F6F">
              <w:rPr>
                <w:rFonts w:ascii="Calibri" w:eastAsia="Times New Roman" w:hAnsi="Calibri" w:cs="Calibri"/>
                <w:b/>
                <w:bCs/>
                <w:color w:val="000000"/>
                <w:lang w:eastAsia="es-CO"/>
              </w:rPr>
              <w:t xml:space="preserve">Sopetrán </w:t>
            </w:r>
          </w:p>
        </w:tc>
        <w:tc>
          <w:tcPr>
            <w:tcW w:w="2071" w:type="dxa"/>
            <w:tcBorders>
              <w:top w:val="nil"/>
              <w:left w:val="nil"/>
              <w:bottom w:val="single" w:sz="8" w:space="0" w:color="A6A6A6"/>
              <w:right w:val="single" w:sz="8" w:space="0" w:color="A6A6A6"/>
            </w:tcBorders>
            <w:shd w:val="clear" w:color="auto" w:fill="auto"/>
            <w:noWrap/>
            <w:vAlign w:val="bottom"/>
            <w:hideMark/>
          </w:tcPr>
          <w:p w14:paraId="6829E46D"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Acueducto</w:t>
            </w:r>
          </w:p>
        </w:tc>
        <w:tc>
          <w:tcPr>
            <w:tcW w:w="1867" w:type="dxa"/>
            <w:tcBorders>
              <w:top w:val="nil"/>
              <w:left w:val="nil"/>
              <w:bottom w:val="single" w:sz="8" w:space="0" w:color="A6A6A6"/>
              <w:right w:val="single" w:sz="8" w:space="0" w:color="A6A6A6"/>
            </w:tcBorders>
            <w:shd w:val="clear" w:color="auto" w:fill="auto"/>
            <w:noWrap/>
            <w:vAlign w:val="bottom"/>
            <w:hideMark/>
          </w:tcPr>
          <w:p w14:paraId="2A2D26CE"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 xml:space="preserve"> $         53.73 </w:t>
            </w:r>
          </w:p>
        </w:tc>
        <w:tc>
          <w:tcPr>
            <w:tcW w:w="1867" w:type="dxa"/>
            <w:tcBorders>
              <w:top w:val="nil"/>
              <w:left w:val="nil"/>
              <w:bottom w:val="single" w:sz="8" w:space="0" w:color="A6A6A6"/>
              <w:right w:val="single" w:sz="8" w:space="0" w:color="A6A6A6"/>
            </w:tcBorders>
            <w:shd w:val="clear" w:color="auto" w:fill="auto"/>
            <w:noWrap/>
            <w:vAlign w:val="bottom"/>
            <w:hideMark/>
          </w:tcPr>
          <w:p w14:paraId="21367452"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 xml:space="preserve"> $       195.48 </w:t>
            </w:r>
          </w:p>
        </w:tc>
      </w:tr>
      <w:tr w:rsidR="00CA0F6F" w:rsidRPr="00CA0F6F" w14:paraId="2EDE4331" w14:textId="77777777" w:rsidTr="00CA0F6F">
        <w:trPr>
          <w:trHeight w:val="198"/>
          <w:jc w:val="center"/>
        </w:trPr>
        <w:tc>
          <w:tcPr>
            <w:tcW w:w="1867" w:type="dxa"/>
            <w:vMerge/>
            <w:tcBorders>
              <w:top w:val="nil"/>
              <w:left w:val="single" w:sz="8" w:space="0" w:color="A6A6A6"/>
              <w:bottom w:val="single" w:sz="8" w:space="0" w:color="A6A6A6"/>
              <w:right w:val="single" w:sz="8" w:space="0" w:color="A6A6A6"/>
            </w:tcBorders>
            <w:vAlign w:val="center"/>
            <w:hideMark/>
          </w:tcPr>
          <w:p w14:paraId="7DC1AC7D" w14:textId="77777777" w:rsidR="00CA0F6F" w:rsidRPr="00CA0F6F" w:rsidRDefault="00CA0F6F" w:rsidP="00CA0F6F">
            <w:pPr>
              <w:spacing w:after="0" w:line="240" w:lineRule="auto"/>
              <w:rPr>
                <w:rFonts w:ascii="Calibri" w:eastAsia="Times New Roman" w:hAnsi="Calibri" w:cs="Calibri"/>
                <w:b/>
                <w:bCs/>
                <w:color w:val="000000"/>
                <w:lang w:eastAsia="es-CO"/>
              </w:rPr>
            </w:pPr>
          </w:p>
        </w:tc>
        <w:tc>
          <w:tcPr>
            <w:tcW w:w="2071" w:type="dxa"/>
            <w:tcBorders>
              <w:top w:val="nil"/>
              <w:left w:val="nil"/>
              <w:bottom w:val="single" w:sz="8" w:space="0" w:color="A6A6A6"/>
              <w:right w:val="single" w:sz="8" w:space="0" w:color="A6A6A6"/>
            </w:tcBorders>
            <w:shd w:val="clear" w:color="auto" w:fill="auto"/>
            <w:noWrap/>
            <w:vAlign w:val="bottom"/>
            <w:hideMark/>
          </w:tcPr>
          <w:p w14:paraId="0A03434E"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Alcantarillado</w:t>
            </w:r>
          </w:p>
        </w:tc>
        <w:tc>
          <w:tcPr>
            <w:tcW w:w="1867" w:type="dxa"/>
            <w:tcBorders>
              <w:top w:val="nil"/>
              <w:left w:val="nil"/>
              <w:bottom w:val="single" w:sz="8" w:space="0" w:color="A6A6A6"/>
              <w:right w:val="single" w:sz="8" w:space="0" w:color="A6A6A6"/>
            </w:tcBorders>
            <w:shd w:val="clear" w:color="auto" w:fill="auto"/>
            <w:noWrap/>
            <w:vAlign w:val="bottom"/>
            <w:hideMark/>
          </w:tcPr>
          <w:p w14:paraId="3A39BF9C"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 xml:space="preserve"> $         20.83 </w:t>
            </w:r>
          </w:p>
        </w:tc>
        <w:tc>
          <w:tcPr>
            <w:tcW w:w="1867" w:type="dxa"/>
            <w:tcBorders>
              <w:top w:val="nil"/>
              <w:left w:val="nil"/>
              <w:bottom w:val="single" w:sz="8" w:space="0" w:color="A6A6A6"/>
              <w:right w:val="single" w:sz="8" w:space="0" w:color="A6A6A6"/>
            </w:tcBorders>
            <w:shd w:val="clear" w:color="auto" w:fill="auto"/>
            <w:noWrap/>
            <w:vAlign w:val="bottom"/>
            <w:hideMark/>
          </w:tcPr>
          <w:p w14:paraId="547886F5"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 xml:space="preserve"> $       114.29 </w:t>
            </w:r>
          </w:p>
        </w:tc>
      </w:tr>
      <w:tr w:rsidR="00CA0F6F" w:rsidRPr="00CA0F6F" w14:paraId="6D3DEB8B" w14:textId="77777777" w:rsidTr="00CA0F6F">
        <w:trPr>
          <w:trHeight w:val="198"/>
          <w:jc w:val="center"/>
        </w:trPr>
        <w:tc>
          <w:tcPr>
            <w:tcW w:w="1867"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1FC46EA4" w14:textId="77777777" w:rsidR="00CA0F6F" w:rsidRPr="00CA0F6F" w:rsidRDefault="00CA0F6F" w:rsidP="00CA0F6F">
            <w:pPr>
              <w:spacing w:after="0" w:line="240" w:lineRule="auto"/>
              <w:rPr>
                <w:rFonts w:ascii="Calibri" w:eastAsia="Times New Roman" w:hAnsi="Calibri" w:cs="Calibri"/>
                <w:b/>
                <w:bCs/>
                <w:color w:val="000000"/>
                <w:lang w:eastAsia="es-CO"/>
              </w:rPr>
            </w:pPr>
            <w:r w:rsidRPr="00CA0F6F">
              <w:rPr>
                <w:rFonts w:ascii="Calibri" w:eastAsia="Times New Roman" w:hAnsi="Calibri" w:cs="Calibri"/>
                <w:b/>
                <w:bCs/>
                <w:color w:val="000000"/>
                <w:lang w:eastAsia="es-CO"/>
              </w:rPr>
              <w:t>Turbo</w:t>
            </w:r>
          </w:p>
        </w:tc>
        <w:tc>
          <w:tcPr>
            <w:tcW w:w="2071" w:type="dxa"/>
            <w:tcBorders>
              <w:top w:val="nil"/>
              <w:left w:val="nil"/>
              <w:bottom w:val="single" w:sz="8" w:space="0" w:color="A6A6A6"/>
              <w:right w:val="single" w:sz="8" w:space="0" w:color="A6A6A6"/>
            </w:tcBorders>
            <w:shd w:val="clear" w:color="auto" w:fill="auto"/>
            <w:noWrap/>
            <w:vAlign w:val="bottom"/>
            <w:hideMark/>
          </w:tcPr>
          <w:p w14:paraId="4DD55A20"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Acueducto</w:t>
            </w:r>
          </w:p>
        </w:tc>
        <w:tc>
          <w:tcPr>
            <w:tcW w:w="1867" w:type="dxa"/>
            <w:tcBorders>
              <w:top w:val="nil"/>
              <w:left w:val="nil"/>
              <w:bottom w:val="single" w:sz="8" w:space="0" w:color="A6A6A6"/>
              <w:right w:val="single" w:sz="8" w:space="0" w:color="A6A6A6"/>
            </w:tcBorders>
            <w:shd w:val="clear" w:color="auto" w:fill="auto"/>
            <w:noWrap/>
            <w:vAlign w:val="bottom"/>
            <w:hideMark/>
          </w:tcPr>
          <w:p w14:paraId="0CEF6195"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 xml:space="preserve"> $         23.46 </w:t>
            </w:r>
          </w:p>
        </w:tc>
        <w:tc>
          <w:tcPr>
            <w:tcW w:w="1867" w:type="dxa"/>
            <w:tcBorders>
              <w:top w:val="nil"/>
              <w:left w:val="nil"/>
              <w:bottom w:val="single" w:sz="8" w:space="0" w:color="A6A6A6"/>
              <w:right w:val="single" w:sz="8" w:space="0" w:color="A6A6A6"/>
            </w:tcBorders>
            <w:shd w:val="clear" w:color="auto" w:fill="auto"/>
            <w:noWrap/>
            <w:vAlign w:val="bottom"/>
            <w:hideMark/>
          </w:tcPr>
          <w:p w14:paraId="567F5071"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 xml:space="preserve"> $         40.24 </w:t>
            </w:r>
          </w:p>
        </w:tc>
      </w:tr>
      <w:tr w:rsidR="00CA0F6F" w:rsidRPr="00CA0F6F" w14:paraId="16E6FE08" w14:textId="77777777" w:rsidTr="00CA0F6F">
        <w:trPr>
          <w:trHeight w:val="198"/>
          <w:jc w:val="center"/>
        </w:trPr>
        <w:tc>
          <w:tcPr>
            <w:tcW w:w="1867" w:type="dxa"/>
            <w:vMerge/>
            <w:tcBorders>
              <w:top w:val="nil"/>
              <w:left w:val="single" w:sz="8" w:space="0" w:color="A6A6A6"/>
              <w:bottom w:val="single" w:sz="8" w:space="0" w:color="A6A6A6"/>
              <w:right w:val="single" w:sz="8" w:space="0" w:color="A6A6A6"/>
            </w:tcBorders>
            <w:vAlign w:val="center"/>
            <w:hideMark/>
          </w:tcPr>
          <w:p w14:paraId="7B82344B" w14:textId="77777777" w:rsidR="00CA0F6F" w:rsidRPr="00CA0F6F" w:rsidRDefault="00CA0F6F" w:rsidP="00CA0F6F">
            <w:pPr>
              <w:spacing w:after="0" w:line="240" w:lineRule="auto"/>
              <w:rPr>
                <w:rFonts w:ascii="Calibri" w:eastAsia="Times New Roman" w:hAnsi="Calibri" w:cs="Calibri"/>
                <w:b/>
                <w:bCs/>
                <w:color w:val="000000"/>
                <w:lang w:eastAsia="es-CO"/>
              </w:rPr>
            </w:pPr>
          </w:p>
        </w:tc>
        <w:tc>
          <w:tcPr>
            <w:tcW w:w="2071" w:type="dxa"/>
            <w:tcBorders>
              <w:top w:val="nil"/>
              <w:left w:val="nil"/>
              <w:bottom w:val="single" w:sz="8" w:space="0" w:color="A6A6A6"/>
              <w:right w:val="single" w:sz="8" w:space="0" w:color="A6A6A6"/>
            </w:tcBorders>
            <w:shd w:val="clear" w:color="auto" w:fill="auto"/>
            <w:noWrap/>
            <w:vAlign w:val="bottom"/>
            <w:hideMark/>
          </w:tcPr>
          <w:p w14:paraId="4D1D2ABD"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Alcantarillado</w:t>
            </w:r>
          </w:p>
        </w:tc>
        <w:tc>
          <w:tcPr>
            <w:tcW w:w="1867" w:type="dxa"/>
            <w:tcBorders>
              <w:top w:val="nil"/>
              <w:left w:val="nil"/>
              <w:bottom w:val="single" w:sz="8" w:space="0" w:color="A6A6A6"/>
              <w:right w:val="single" w:sz="8" w:space="0" w:color="A6A6A6"/>
            </w:tcBorders>
            <w:shd w:val="clear" w:color="auto" w:fill="auto"/>
            <w:noWrap/>
            <w:vAlign w:val="bottom"/>
            <w:hideMark/>
          </w:tcPr>
          <w:p w14:paraId="72FD7A7C"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 xml:space="preserve"> $         42.16 </w:t>
            </w:r>
          </w:p>
        </w:tc>
        <w:tc>
          <w:tcPr>
            <w:tcW w:w="1867" w:type="dxa"/>
            <w:tcBorders>
              <w:top w:val="nil"/>
              <w:left w:val="nil"/>
              <w:bottom w:val="single" w:sz="8" w:space="0" w:color="A6A6A6"/>
              <w:right w:val="single" w:sz="8" w:space="0" w:color="A6A6A6"/>
            </w:tcBorders>
            <w:shd w:val="clear" w:color="auto" w:fill="auto"/>
            <w:noWrap/>
            <w:vAlign w:val="bottom"/>
            <w:hideMark/>
          </w:tcPr>
          <w:p w14:paraId="0150E17C" w14:textId="77777777" w:rsidR="00CA0F6F" w:rsidRPr="00CA0F6F" w:rsidRDefault="00CA0F6F" w:rsidP="00CA0F6F">
            <w:pPr>
              <w:spacing w:after="0" w:line="240" w:lineRule="auto"/>
              <w:rPr>
                <w:rFonts w:ascii="Calibri" w:eastAsia="Times New Roman" w:hAnsi="Calibri" w:cs="Calibri"/>
                <w:color w:val="000000"/>
                <w:lang w:eastAsia="es-CO"/>
              </w:rPr>
            </w:pPr>
            <w:r w:rsidRPr="00CA0F6F">
              <w:rPr>
                <w:rFonts w:ascii="Calibri" w:eastAsia="Times New Roman" w:hAnsi="Calibri" w:cs="Calibri"/>
                <w:color w:val="000000"/>
                <w:lang w:eastAsia="es-CO"/>
              </w:rPr>
              <w:t xml:space="preserve"> $       180.62 </w:t>
            </w:r>
          </w:p>
        </w:tc>
      </w:tr>
    </w:tbl>
    <w:p w14:paraId="295C7B4C" w14:textId="77777777" w:rsidR="00CA0F6F" w:rsidRDefault="00CA0F6F" w:rsidP="001E7F19">
      <w:pPr>
        <w:autoSpaceDE w:val="0"/>
        <w:autoSpaceDN w:val="0"/>
        <w:adjustRightInd w:val="0"/>
        <w:jc w:val="both"/>
        <w:rPr>
          <w:rFonts w:ascii="Arial Narrow" w:hAnsi="Arial Narrow" w:cs="ArialMT"/>
          <w:b/>
          <w:bCs/>
        </w:rPr>
      </w:pPr>
    </w:p>
    <w:p w14:paraId="597CBE4F" w14:textId="55B55A77" w:rsidR="003574BF" w:rsidRDefault="008F0780" w:rsidP="001E7F19">
      <w:pPr>
        <w:autoSpaceDE w:val="0"/>
        <w:autoSpaceDN w:val="0"/>
        <w:adjustRightInd w:val="0"/>
        <w:jc w:val="both"/>
        <w:rPr>
          <w:rFonts w:ascii="Arial Narrow" w:hAnsi="Arial Narrow" w:cs="ArialMT"/>
        </w:rPr>
      </w:pPr>
      <w:r w:rsidRPr="008F0780">
        <w:rPr>
          <w:rFonts w:ascii="Arial Narrow" w:hAnsi="Arial Narrow" w:cs="ArialMT"/>
          <w:b/>
          <w:bCs/>
        </w:rPr>
        <w:t>Parágrafo 1:</w:t>
      </w:r>
      <w:r>
        <w:rPr>
          <w:rFonts w:ascii="Arial Narrow" w:hAnsi="Arial Narrow" w:cs="ArialMT"/>
        </w:rPr>
        <w:t xml:space="preserve"> Continúan vigentes </w:t>
      </w:r>
      <w:r w:rsidR="003574BF">
        <w:rPr>
          <w:rFonts w:ascii="Arial Narrow" w:hAnsi="Arial Narrow" w:cs="Arial"/>
        </w:rPr>
        <w:t xml:space="preserve">las delegaciones otorgadas al Gerente General mediante el Decreto 007 </w:t>
      </w:r>
      <w:r w:rsidR="003574BF">
        <w:rPr>
          <w:rFonts w:ascii="Arial Narrow" w:eastAsia="Times New Roman" w:hAnsi="Arial Narrow" w:cs="Arial"/>
          <w:lang w:val="es-ES" w:eastAsia="es-ES"/>
        </w:rPr>
        <w:t xml:space="preserve">de diciembre 22 de 2017 y las </w:t>
      </w:r>
      <w:r w:rsidR="003574BF" w:rsidRPr="008A5CA8">
        <w:rPr>
          <w:rFonts w:ascii="Arial Narrow" w:hAnsi="Arial Narrow" w:cs="ArialMT"/>
        </w:rPr>
        <w:t xml:space="preserve">tarifas aprobadas mediante Resolución </w:t>
      </w:r>
      <w:r w:rsidR="00EA042C" w:rsidRPr="008A5CA8">
        <w:rPr>
          <w:rFonts w:ascii="Arial Narrow" w:hAnsi="Arial Narrow" w:cs="ArialMT"/>
        </w:rPr>
        <w:t>No. 20200910002480 – 28 de 29 de septiembre de 2020.</w:t>
      </w:r>
      <w:r w:rsidR="0071449B" w:rsidRPr="008A5CA8">
        <w:rPr>
          <w:rFonts w:ascii="Arial Narrow" w:hAnsi="Arial Narrow" w:cs="ArialMT"/>
        </w:rPr>
        <w:t xml:space="preserve"> </w:t>
      </w:r>
    </w:p>
    <w:p w14:paraId="0B701F70" w14:textId="275A5883" w:rsidR="00F94465" w:rsidRPr="009B6359" w:rsidRDefault="00E252C5" w:rsidP="009B6359">
      <w:pPr>
        <w:autoSpaceDE w:val="0"/>
        <w:autoSpaceDN w:val="0"/>
        <w:adjustRightInd w:val="0"/>
        <w:jc w:val="both"/>
        <w:rPr>
          <w:rFonts w:ascii="Arial Narrow" w:hAnsi="Arial Narrow" w:cs="ArialMT"/>
        </w:rPr>
      </w:pPr>
      <w:r w:rsidRPr="00E3746F">
        <w:rPr>
          <w:rFonts w:ascii="Arial Narrow" w:hAnsi="Arial Narrow" w:cs="Arial-BoldMT"/>
          <w:b/>
          <w:bCs/>
        </w:rPr>
        <w:t xml:space="preserve">ARTÍCULO </w:t>
      </w:r>
      <w:r w:rsidR="009C7CED" w:rsidRPr="00E3746F">
        <w:rPr>
          <w:rFonts w:ascii="Arial Narrow" w:hAnsi="Arial Narrow" w:cs="Arial-BoldMT"/>
          <w:b/>
          <w:bCs/>
        </w:rPr>
        <w:t>CUARTO</w:t>
      </w:r>
      <w:r w:rsidR="000F497B">
        <w:rPr>
          <w:rFonts w:ascii="Arial Narrow" w:hAnsi="Arial Narrow" w:cs="Arial-BoldMT"/>
          <w:b/>
          <w:bCs/>
        </w:rPr>
        <w:t>. VIGENCIA</w:t>
      </w:r>
      <w:r w:rsidRPr="00E3746F">
        <w:rPr>
          <w:rFonts w:ascii="Arial Narrow" w:hAnsi="Arial Narrow" w:cs="Arial-BoldMT"/>
          <w:b/>
          <w:bCs/>
        </w:rPr>
        <w:t xml:space="preserve">: </w:t>
      </w:r>
      <w:r w:rsidRPr="00E3746F">
        <w:rPr>
          <w:rFonts w:ascii="Arial Narrow" w:hAnsi="Arial Narrow" w:cs="ArialMT"/>
        </w:rPr>
        <w:t>El pre</w:t>
      </w:r>
      <w:r w:rsidR="001A7DD4" w:rsidRPr="00E3746F">
        <w:rPr>
          <w:rFonts w:ascii="Arial Narrow" w:hAnsi="Arial Narrow" w:cs="ArialMT"/>
        </w:rPr>
        <w:t xml:space="preserve">sente decreto rige a partir </w:t>
      </w:r>
      <w:r w:rsidR="00947330" w:rsidRPr="00E3746F">
        <w:rPr>
          <w:rFonts w:ascii="Arial Narrow" w:hAnsi="Arial Narrow" w:cs="ArialMT"/>
        </w:rPr>
        <w:t xml:space="preserve">de los consumos </w:t>
      </w:r>
      <w:r w:rsidR="002B3096" w:rsidRPr="0021174B">
        <w:rPr>
          <w:rFonts w:ascii="Arial Narrow" w:hAnsi="Arial Narrow" w:cs="ArialMT"/>
        </w:rPr>
        <w:t xml:space="preserve">del </w:t>
      </w:r>
      <w:r w:rsidR="002B3096" w:rsidRPr="00CA0F6F">
        <w:rPr>
          <w:rFonts w:ascii="Arial Narrow" w:hAnsi="Arial Narrow" w:cs="ArialMT"/>
        </w:rPr>
        <w:t>1 de febrero de 2021</w:t>
      </w:r>
      <w:r w:rsidR="00947330" w:rsidRPr="00CA0F6F">
        <w:rPr>
          <w:rFonts w:ascii="Arial Narrow" w:hAnsi="Arial Narrow" w:cs="ArialMT"/>
        </w:rPr>
        <w:t>,</w:t>
      </w:r>
      <w:r w:rsidRPr="00E3746F">
        <w:rPr>
          <w:rFonts w:ascii="Arial Narrow" w:hAnsi="Arial Narrow" w:cs="ArialMT"/>
        </w:rPr>
        <w:t xml:space="preserve"> de</w:t>
      </w:r>
      <w:r w:rsidR="00FE52C1" w:rsidRPr="00E3746F">
        <w:rPr>
          <w:rFonts w:ascii="Arial Narrow" w:hAnsi="Arial Narrow" w:cs="ArialMT"/>
        </w:rPr>
        <w:t xml:space="preserve"> </w:t>
      </w:r>
      <w:r w:rsidRPr="00E3746F">
        <w:rPr>
          <w:rFonts w:ascii="Arial Narrow" w:hAnsi="Arial Narrow" w:cs="ArialMT"/>
        </w:rPr>
        <w:t xml:space="preserve">conformidad con las Resoluciones </w:t>
      </w:r>
      <w:r w:rsidR="002B3096" w:rsidRPr="0021174B">
        <w:rPr>
          <w:rFonts w:ascii="Arial Narrow" w:hAnsi="Arial Narrow" w:cs="ArialMT"/>
        </w:rPr>
        <w:t>CRA 688 de 2014</w:t>
      </w:r>
      <w:r w:rsidR="002B3096">
        <w:rPr>
          <w:rFonts w:ascii="Arial Narrow" w:hAnsi="Arial Narrow" w:cs="ArialMT"/>
        </w:rPr>
        <w:t>,</w:t>
      </w:r>
      <w:r w:rsidR="002B3096" w:rsidRPr="0021174B">
        <w:rPr>
          <w:rFonts w:ascii="Arial Narrow" w:hAnsi="Arial Narrow" w:cs="ArialMT"/>
        </w:rPr>
        <w:t xml:space="preserve"> 735 de 2015</w:t>
      </w:r>
      <w:r w:rsidR="002B3096">
        <w:rPr>
          <w:rFonts w:ascii="Arial Narrow" w:hAnsi="Arial Narrow" w:cs="ArialMT"/>
        </w:rPr>
        <w:t xml:space="preserve"> y 864 de 2018</w:t>
      </w:r>
      <w:r w:rsidR="003D40B9" w:rsidRPr="00E3746F">
        <w:rPr>
          <w:rFonts w:ascii="Arial Narrow" w:hAnsi="Arial Narrow" w:cs="ArialMT"/>
        </w:rPr>
        <w:t xml:space="preserve">, </w:t>
      </w:r>
    </w:p>
    <w:p w14:paraId="3B3DE398" w14:textId="50025EAC" w:rsidR="00B34F40" w:rsidRDefault="00B34F40" w:rsidP="00FE52C1">
      <w:pPr>
        <w:autoSpaceDE w:val="0"/>
        <w:autoSpaceDN w:val="0"/>
        <w:adjustRightInd w:val="0"/>
        <w:spacing w:after="0" w:line="240" w:lineRule="auto"/>
        <w:jc w:val="both"/>
        <w:rPr>
          <w:rFonts w:ascii="Arial Narrow" w:hAnsi="Arial Narrow" w:cs="ArialMT"/>
        </w:rPr>
      </w:pPr>
    </w:p>
    <w:p w14:paraId="05F6D876" w14:textId="5B7832BE" w:rsidR="000F497B" w:rsidRDefault="000F497B" w:rsidP="00FE52C1">
      <w:pPr>
        <w:autoSpaceDE w:val="0"/>
        <w:autoSpaceDN w:val="0"/>
        <w:adjustRightInd w:val="0"/>
        <w:spacing w:after="0" w:line="240" w:lineRule="auto"/>
        <w:jc w:val="both"/>
        <w:rPr>
          <w:rFonts w:ascii="Arial Narrow" w:hAnsi="Arial Narrow" w:cs="ArialMT"/>
        </w:rPr>
      </w:pPr>
      <w:r>
        <w:rPr>
          <w:rFonts w:ascii="Arial Narrow" w:hAnsi="Arial Narrow" w:cs="ArialMT"/>
        </w:rPr>
        <w:t xml:space="preserve">Se expide el día </w:t>
      </w:r>
      <w:proofErr w:type="spellStart"/>
      <w:r w:rsidRPr="00F76F9D">
        <w:rPr>
          <w:rFonts w:ascii="Arial Narrow" w:hAnsi="Arial Narrow" w:cs="ArialMT"/>
          <w:highlight w:val="yellow"/>
        </w:rPr>
        <w:t>xxxxx</w:t>
      </w:r>
      <w:proofErr w:type="spellEnd"/>
      <w:r>
        <w:rPr>
          <w:rFonts w:ascii="Arial Narrow" w:hAnsi="Arial Narrow" w:cs="ArialMT"/>
        </w:rPr>
        <w:t xml:space="preserve"> de </w:t>
      </w:r>
      <w:r w:rsidR="00C275C6">
        <w:rPr>
          <w:rFonts w:ascii="Arial Narrow" w:hAnsi="Arial Narrow" w:cs="ArialMT"/>
        </w:rPr>
        <w:t>enero</w:t>
      </w:r>
      <w:r>
        <w:rPr>
          <w:rFonts w:ascii="Arial Narrow" w:hAnsi="Arial Narrow" w:cs="ArialMT"/>
        </w:rPr>
        <w:t xml:space="preserve"> de 202</w:t>
      </w:r>
      <w:r w:rsidR="00C275C6">
        <w:rPr>
          <w:rFonts w:ascii="Arial Narrow" w:hAnsi="Arial Narrow" w:cs="ArialMT"/>
        </w:rPr>
        <w:t>1</w:t>
      </w:r>
      <w:r>
        <w:rPr>
          <w:rFonts w:ascii="Arial Narrow" w:hAnsi="Arial Narrow" w:cs="ArialMT"/>
        </w:rPr>
        <w:t>.</w:t>
      </w:r>
    </w:p>
    <w:p w14:paraId="14919AE4" w14:textId="77777777" w:rsidR="00484E39" w:rsidRDefault="00484E39" w:rsidP="00FE52C1">
      <w:pPr>
        <w:autoSpaceDE w:val="0"/>
        <w:autoSpaceDN w:val="0"/>
        <w:adjustRightInd w:val="0"/>
        <w:spacing w:after="0" w:line="240" w:lineRule="auto"/>
        <w:jc w:val="both"/>
        <w:rPr>
          <w:rFonts w:ascii="Arial Narrow" w:hAnsi="Arial Narrow" w:cs="ArialMT"/>
        </w:rPr>
      </w:pPr>
    </w:p>
    <w:p w14:paraId="417A8A10" w14:textId="77777777" w:rsidR="000F497B" w:rsidRDefault="000F497B" w:rsidP="00FE52C1">
      <w:pPr>
        <w:autoSpaceDE w:val="0"/>
        <w:autoSpaceDN w:val="0"/>
        <w:adjustRightInd w:val="0"/>
        <w:spacing w:after="0" w:line="240" w:lineRule="auto"/>
        <w:jc w:val="both"/>
        <w:rPr>
          <w:rFonts w:ascii="Arial Narrow" w:hAnsi="Arial Narrow" w:cs="ArialMT"/>
        </w:rPr>
      </w:pPr>
    </w:p>
    <w:p w14:paraId="0F464354" w14:textId="02786B41" w:rsidR="00E252C5" w:rsidRDefault="00E252C5" w:rsidP="00F40A66">
      <w:pPr>
        <w:autoSpaceDE w:val="0"/>
        <w:autoSpaceDN w:val="0"/>
        <w:adjustRightInd w:val="0"/>
        <w:spacing w:after="0" w:line="240" w:lineRule="auto"/>
        <w:jc w:val="center"/>
        <w:rPr>
          <w:rFonts w:ascii="Arial Narrow" w:hAnsi="Arial Narrow" w:cs="Arial-BoldMT"/>
          <w:b/>
          <w:bCs/>
          <w:sz w:val="24"/>
          <w:szCs w:val="24"/>
        </w:rPr>
      </w:pPr>
      <w:r w:rsidRPr="00A12790">
        <w:rPr>
          <w:rFonts w:ascii="Arial Narrow" w:hAnsi="Arial Narrow" w:cs="Arial-BoldMT"/>
          <w:b/>
          <w:bCs/>
          <w:sz w:val="24"/>
          <w:szCs w:val="24"/>
        </w:rPr>
        <w:t>PÚBLIQUESE Y CÚMPLASE</w:t>
      </w:r>
    </w:p>
    <w:p w14:paraId="60B74A9E" w14:textId="1F06109A" w:rsidR="00C62D42" w:rsidRDefault="00C62D42" w:rsidP="00F40A66">
      <w:pPr>
        <w:autoSpaceDE w:val="0"/>
        <w:autoSpaceDN w:val="0"/>
        <w:adjustRightInd w:val="0"/>
        <w:spacing w:after="0" w:line="240" w:lineRule="auto"/>
        <w:jc w:val="center"/>
        <w:rPr>
          <w:rFonts w:ascii="Arial Narrow" w:hAnsi="Arial Narrow" w:cs="Arial-BoldMT"/>
          <w:b/>
          <w:bCs/>
          <w:sz w:val="24"/>
          <w:szCs w:val="24"/>
        </w:rPr>
      </w:pPr>
    </w:p>
    <w:p w14:paraId="3BBF0EF3" w14:textId="58450A6D" w:rsidR="008F0309" w:rsidRDefault="008F0309" w:rsidP="008F0309">
      <w:pPr>
        <w:autoSpaceDE w:val="0"/>
        <w:autoSpaceDN w:val="0"/>
        <w:adjustRightInd w:val="0"/>
        <w:spacing w:after="0" w:line="240" w:lineRule="auto"/>
        <w:jc w:val="both"/>
        <w:rPr>
          <w:rFonts w:ascii="Arial Narrow" w:hAnsi="Arial Narrow" w:cs="Arial-BoldMT"/>
          <w:b/>
          <w:bCs/>
          <w:sz w:val="24"/>
          <w:szCs w:val="24"/>
        </w:rPr>
      </w:pPr>
    </w:p>
    <w:p w14:paraId="6BADD5EE" w14:textId="77777777" w:rsidR="003C58ED" w:rsidRDefault="003C58ED" w:rsidP="008F0309">
      <w:pPr>
        <w:autoSpaceDE w:val="0"/>
        <w:autoSpaceDN w:val="0"/>
        <w:adjustRightInd w:val="0"/>
        <w:spacing w:after="0" w:line="240" w:lineRule="auto"/>
        <w:jc w:val="both"/>
        <w:rPr>
          <w:rFonts w:ascii="Arial Narrow" w:hAnsi="Arial Narrow" w:cs="Arial-BoldMT"/>
          <w:b/>
          <w:bCs/>
          <w:sz w:val="24"/>
          <w:szCs w:val="24"/>
        </w:rPr>
      </w:pPr>
    </w:p>
    <w:p w14:paraId="46B7B4A5" w14:textId="754427AF" w:rsidR="008F0309" w:rsidRDefault="005A0922" w:rsidP="008F0309">
      <w:pPr>
        <w:autoSpaceDE w:val="0"/>
        <w:autoSpaceDN w:val="0"/>
        <w:adjustRightInd w:val="0"/>
        <w:spacing w:after="0" w:line="240" w:lineRule="auto"/>
        <w:jc w:val="both"/>
        <w:rPr>
          <w:rFonts w:ascii="Arial Narrow" w:hAnsi="Arial Narrow" w:cs="Arial-BoldMT"/>
          <w:b/>
          <w:bCs/>
          <w:sz w:val="24"/>
          <w:szCs w:val="24"/>
        </w:rPr>
      </w:pPr>
      <w:r>
        <w:rPr>
          <w:rFonts w:ascii="Arial Narrow" w:hAnsi="Arial Narrow" w:cs="Arial-BoldMT"/>
          <w:b/>
          <w:bCs/>
          <w:sz w:val="24"/>
          <w:szCs w:val="24"/>
        </w:rPr>
        <w:t xml:space="preserve">PRESIDENTE: </w:t>
      </w:r>
      <w:r w:rsidR="003C58ED">
        <w:rPr>
          <w:rFonts w:ascii="Arial Narrow" w:hAnsi="Arial Narrow" w:cs="Arial-BoldMT"/>
          <w:b/>
          <w:bCs/>
          <w:sz w:val="24"/>
          <w:szCs w:val="24"/>
        </w:rPr>
        <w:tab/>
      </w:r>
      <w:r w:rsidR="003C58ED">
        <w:rPr>
          <w:rFonts w:ascii="Arial Narrow" w:hAnsi="Arial Narrow" w:cs="Arial-BoldMT"/>
          <w:b/>
          <w:bCs/>
          <w:sz w:val="24"/>
          <w:szCs w:val="24"/>
        </w:rPr>
        <w:tab/>
      </w:r>
      <w:r w:rsidR="003C58ED">
        <w:rPr>
          <w:rFonts w:ascii="Arial Narrow" w:hAnsi="Arial Narrow" w:cs="Arial-BoldMT"/>
          <w:b/>
          <w:bCs/>
          <w:sz w:val="24"/>
          <w:szCs w:val="24"/>
        </w:rPr>
        <w:tab/>
        <w:t>JORGE WILLIAM RAMÍREZ TIRADO</w:t>
      </w:r>
    </w:p>
    <w:p w14:paraId="35020972" w14:textId="6622ACE3" w:rsidR="008F0309" w:rsidRDefault="008F0309" w:rsidP="008F0309">
      <w:pPr>
        <w:autoSpaceDE w:val="0"/>
        <w:autoSpaceDN w:val="0"/>
        <w:adjustRightInd w:val="0"/>
        <w:spacing w:after="0" w:line="240" w:lineRule="auto"/>
        <w:jc w:val="both"/>
        <w:rPr>
          <w:rFonts w:ascii="Arial Narrow" w:hAnsi="Arial Narrow" w:cs="Arial-BoldMT"/>
          <w:b/>
          <w:bCs/>
          <w:sz w:val="24"/>
          <w:szCs w:val="24"/>
        </w:rPr>
      </w:pPr>
    </w:p>
    <w:p w14:paraId="5B4F786C" w14:textId="06F4FF9B" w:rsidR="00866C9F" w:rsidRDefault="00866C9F" w:rsidP="008F0309">
      <w:pPr>
        <w:autoSpaceDE w:val="0"/>
        <w:autoSpaceDN w:val="0"/>
        <w:adjustRightInd w:val="0"/>
        <w:spacing w:after="0" w:line="240" w:lineRule="auto"/>
        <w:jc w:val="both"/>
        <w:rPr>
          <w:rFonts w:ascii="Arial Narrow" w:hAnsi="Arial Narrow" w:cs="Arial-BoldMT"/>
          <w:b/>
          <w:bCs/>
          <w:sz w:val="24"/>
          <w:szCs w:val="24"/>
        </w:rPr>
      </w:pPr>
    </w:p>
    <w:p w14:paraId="7FFE7F66" w14:textId="77777777" w:rsidR="003C58ED" w:rsidRDefault="003C58ED" w:rsidP="00F76F9D">
      <w:pPr>
        <w:autoSpaceDE w:val="0"/>
        <w:autoSpaceDN w:val="0"/>
        <w:adjustRightInd w:val="0"/>
        <w:spacing w:after="0" w:line="240" w:lineRule="auto"/>
        <w:ind w:left="708" w:hanging="708"/>
        <w:jc w:val="both"/>
        <w:rPr>
          <w:rFonts w:ascii="Arial Narrow" w:hAnsi="Arial Narrow" w:cs="Arial-BoldMT"/>
          <w:b/>
          <w:bCs/>
          <w:sz w:val="24"/>
          <w:szCs w:val="24"/>
        </w:rPr>
      </w:pPr>
    </w:p>
    <w:p w14:paraId="3AB769EB" w14:textId="253E0B52" w:rsidR="008F0309" w:rsidRDefault="005A0922" w:rsidP="008F0309">
      <w:pPr>
        <w:autoSpaceDE w:val="0"/>
        <w:autoSpaceDN w:val="0"/>
        <w:adjustRightInd w:val="0"/>
        <w:spacing w:after="0" w:line="240" w:lineRule="auto"/>
        <w:jc w:val="both"/>
        <w:rPr>
          <w:rFonts w:ascii="Arial Narrow" w:hAnsi="Arial Narrow" w:cs="Arial-BoldMT"/>
          <w:b/>
          <w:bCs/>
          <w:sz w:val="24"/>
          <w:szCs w:val="24"/>
        </w:rPr>
      </w:pPr>
      <w:r>
        <w:rPr>
          <w:rFonts w:ascii="Arial Narrow" w:hAnsi="Arial Narrow" w:cs="Arial-BoldMT"/>
          <w:b/>
          <w:bCs/>
          <w:sz w:val="24"/>
          <w:szCs w:val="24"/>
        </w:rPr>
        <w:t xml:space="preserve">SECRETARIA: </w:t>
      </w:r>
      <w:r w:rsidR="003C58ED">
        <w:rPr>
          <w:rFonts w:ascii="Arial Narrow" w:hAnsi="Arial Narrow" w:cs="Arial-BoldMT"/>
          <w:b/>
          <w:bCs/>
          <w:sz w:val="24"/>
          <w:szCs w:val="24"/>
        </w:rPr>
        <w:tab/>
      </w:r>
      <w:r w:rsidR="003C58ED">
        <w:rPr>
          <w:rFonts w:ascii="Arial Narrow" w:hAnsi="Arial Narrow" w:cs="Arial-BoldMT"/>
          <w:b/>
          <w:bCs/>
          <w:sz w:val="24"/>
          <w:szCs w:val="24"/>
        </w:rPr>
        <w:tab/>
      </w:r>
      <w:r w:rsidR="003C58ED">
        <w:rPr>
          <w:rFonts w:ascii="Arial Narrow" w:hAnsi="Arial Narrow" w:cs="Arial-BoldMT"/>
          <w:b/>
          <w:bCs/>
          <w:sz w:val="24"/>
          <w:szCs w:val="24"/>
        </w:rPr>
        <w:tab/>
        <w:t>ELINOR DEL MAR PINO SALAZAR</w:t>
      </w:r>
    </w:p>
    <w:p w14:paraId="45584382" w14:textId="77777777" w:rsidR="00866C9F" w:rsidRDefault="00866C9F" w:rsidP="008F0309">
      <w:pPr>
        <w:autoSpaceDE w:val="0"/>
        <w:autoSpaceDN w:val="0"/>
        <w:adjustRightInd w:val="0"/>
        <w:spacing w:after="0" w:line="240" w:lineRule="auto"/>
        <w:jc w:val="both"/>
        <w:rPr>
          <w:rFonts w:ascii="Arial Narrow" w:hAnsi="Arial Narrow" w:cs="Arial-BoldMT"/>
          <w:b/>
          <w:bCs/>
          <w:sz w:val="24"/>
          <w:szCs w:val="24"/>
        </w:rPr>
      </w:pPr>
    </w:p>
    <w:p w14:paraId="5C3D6B92" w14:textId="4B7BD2BB" w:rsidR="008F0309" w:rsidRDefault="008F0309" w:rsidP="008F0309">
      <w:pPr>
        <w:autoSpaceDE w:val="0"/>
        <w:autoSpaceDN w:val="0"/>
        <w:adjustRightInd w:val="0"/>
        <w:spacing w:after="0" w:line="240" w:lineRule="auto"/>
        <w:jc w:val="both"/>
        <w:rPr>
          <w:rFonts w:ascii="Arial Narrow" w:hAnsi="Arial Narrow" w:cs="Arial-BoldMT"/>
          <w:b/>
          <w:bCs/>
          <w:sz w:val="24"/>
          <w:szCs w:val="24"/>
        </w:rPr>
      </w:pPr>
    </w:p>
    <w:p w14:paraId="48B509C2" w14:textId="77777777" w:rsidR="008F0309" w:rsidRDefault="008F0309" w:rsidP="008F0309">
      <w:pPr>
        <w:autoSpaceDE w:val="0"/>
        <w:autoSpaceDN w:val="0"/>
        <w:adjustRightInd w:val="0"/>
        <w:spacing w:after="0" w:line="240" w:lineRule="auto"/>
        <w:rPr>
          <w:rFonts w:ascii="Arial Narrow" w:hAnsi="Arial Narrow" w:cs="Arial"/>
          <w:i/>
          <w:iCs/>
          <w:sz w:val="18"/>
          <w:szCs w:val="18"/>
        </w:rPr>
      </w:pPr>
      <w:r>
        <w:rPr>
          <w:rFonts w:ascii="Arial Narrow" w:hAnsi="Arial Narrow" w:cs="Arial"/>
          <w:i/>
          <w:iCs/>
          <w:sz w:val="18"/>
          <w:szCs w:val="18"/>
        </w:rPr>
        <w:t>Proyectó: Cristian Orozco Mejía / Aux Procesos Comercial.</w:t>
      </w:r>
    </w:p>
    <w:p w14:paraId="2780BDF6" w14:textId="77777777" w:rsidR="008F0309" w:rsidRDefault="008F0309" w:rsidP="008F0309">
      <w:pPr>
        <w:autoSpaceDE w:val="0"/>
        <w:autoSpaceDN w:val="0"/>
        <w:adjustRightInd w:val="0"/>
        <w:spacing w:after="0" w:line="240" w:lineRule="auto"/>
        <w:rPr>
          <w:rFonts w:ascii="Arial Narrow" w:hAnsi="Arial Narrow" w:cs="Arial"/>
          <w:i/>
          <w:iCs/>
          <w:sz w:val="18"/>
          <w:szCs w:val="18"/>
        </w:rPr>
      </w:pPr>
      <w:r>
        <w:rPr>
          <w:rFonts w:ascii="Arial Narrow" w:hAnsi="Arial Narrow" w:cs="Arial"/>
          <w:i/>
          <w:iCs/>
          <w:sz w:val="18"/>
          <w:szCs w:val="18"/>
        </w:rPr>
        <w:t>Revisó:    Paola Flórez Mathieu / Líder Comercial.</w:t>
      </w:r>
    </w:p>
    <w:p w14:paraId="11044EFA" w14:textId="30EFE6EF" w:rsidR="008F0309" w:rsidRDefault="008F0309" w:rsidP="008F0309">
      <w:pPr>
        <w:autoSpaceDE w:val="0"/>
        <w:autoSpaceDN w:val="0"/>
        <w:adjustRightInd w:val="0"/>
        <w:spacing w:after="0" w:line="240" w:lineRule="auto"/>
        <w:rPr>
          <w:rFonts w:ascii="Arial Narrow" w:hAnsi="Arial Narrow" w:cs="Arial"/>
          <w:b/>
          <w:bCs/>
          <w:sz w:val="24"/>
          <w:szCs w:val="24"/>
        </w:rPr>
      </w:pPr>
      <w:r>
        <w:rPr>
          <w:rFonts w:ascii="Arial Narrow" w:hAnsi="Arial Narrow" w:cs="Arial"/>
          <w:i/>
          <w:iCs/>
          <w:sz w:val="18"/>
          <w:szCs w:val="18"/>
        </w:rPr>
        <w:t>Aprobó:   Jose Angel Galeano Soto</w:t>
      </w:r>
      <w:r w:rsidR="00484E39">
        <w:rPr>
          <w:rFonts w:ascii="Arial Narrow" w:hAnsi="Arial Narrow" w:cs="Arial"/>
          <w:i/>
          <w:iCs/>
          <w:sz w:val="18"/>
          <w:szCs w:val="18"/>
        </w:rPr>
        <w:t xml:space="preserve"> </w:t>
      </w:r>
      <w:r>
        <w:rPr>
          <w:rFonts w:ascii="Arial Narrow" w:hAnsi="Arial Narrow" w:cs="Arial"/>
          <w:i/>
          <w:iCs/>
          <w:sz w:val="18"/>
          <w:szCs w:val="18"/>
        </w:rPr>
        <w:t>/ Jefe de Gestión Operativa y Comercial.</w:t>
      </w:r>
    </w:p>
    <w:p w14:paraId="68503203" w14:textId="77777777" w:rsidR="008F0309" w:rsidRDefault="008F0309" w:rsidP="008F0309">
      <w:pPr>
        <w:autoSpaceDE w:val="0"/>
        <w:autoSpaceDN w:val="0"/>
        <w:adjustRightInd w:val="0"/>
        <w:spacing w:after="0" w:line="240" w:lineRule="auto"/>
        <w:jc w:val="both"/>
        <w:rPr>
          <w:rFonts w:ascii="Arial Narrow" w:hAnsi="Arial Narrow" w:cs="Arial-BoldMT"/>
          <w:b/>
          <w:bCs/>
          <w:sz w:val="24"/>
          <w:szCs w:val="24"/>
        </w:rPr>
      </w:pPr>
    </w:p>
    <w:sectPr w:rsidR="008F0309">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CDC47" w14:textId="77777777" w:rsidR="007C3F72" w:rsidRDefault="007C3F72" w:rsidP="006918AE">
      <w:pPr>
        <w:spacing w:after="0" w:line="240" w:lineRule="auto"/>
      </w:pPr>
      <w:r>
        <w:separator/>
      </w:r>
    </w:p>
  </w:endnote>
  <w:endnote w:type="continuationSeparator" w:id="0">
    <w:p w14:paraId="28CC2495" w14:textId="77777777" w:rsidR="007C3F72" w:rsidRDefault="007C3F72" w:rsidP="00691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082AB" w14:textId="6A93097D" w:rsidR="00D50001" w:rsidRDefault="00D50001">
    <w:pPr>
      <w:pStyle w:val="Piedepgina"/>
    </w:pPr>
    <w:r w:rsidRPr="005D0FD9">
      <w:rPr>
        <w:noProof/>
        <w:lang w:eastAsia="es-CO"/>
      </w:rPr>
      <w:drawing>
        <wp:anchor distT="0" distB="0" distL="114300" distR="114300" simplePos="0" relativeHeight="251661312" behindDoc="0" locked="0" layoutInCell="1" allowOverlap="1" wp14:anchorId="25DFF693" wp14:editId="70ACF3B4">
          <wp:simplePos x="0" y="0"/>
          <wp:positionH relativeFrom="page">
            <wp:align>right</wp:align>
          </wp:positionH>
          <wp:positionV relativeFrom="paragraph">
            <wp:posOffset>-1333500</wp:posOffset>
          </wp:positionV>
          <wp:extent cx="7398259" cy="194691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398259" cy="19469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FAB46" w14:textId="77777777" w:rsidR="007C3F72" w:rsidRDefault="007C3F72" w:rsidP="006918AE">
      <w:pPr>
        <w:spacing w:after="0" w:line="240" w:lineRule="auto"/>
      </w:pPr>
      <w:r>
        <w:separator/>
      </w:r>
    </w:p>
  </w:footnote>
  <w:footnote w:type="continuationSeparator" w:id="0">
    <w:p w14:paraId="138C40CB" w14:textId="77777777" w:rsidR="007C3F72" w:rsidRDefault="007C3F72" w:rsidP="00691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859F8" w14:textId="1F7037EC" w:rsidR="00D50001" w:rsidRDefault="00D50001">
    <w:pPr>
      <w:pStyle w:val="Encabezado"/>
    </w:pPr>
    <w:r>
      <w:rPr>
        <w:noProof/>
        <w:lang w:eastAsia="es-CO"/>
      </w:rPr>
      <w:drawing>
        <wp:anchor distT="0" distB="0" distL="114300" distR="114300" simplePos="0" relativeHeight="251659264" behindDoc="0" locked="0" layoutInCell="1" allowOverlap="1" wp14:anchorId="2F1E19EC" wp14:editId="512D567C">
          <wp:simplePos x="0" y="0"/>
          <wp:positionH relativeFrom="page">
            <wp:posOffset>-160020</wp:posOffset>
          </wp:positionH>
          <wp:positionV relativeFrom="paragraph">
            <wp:posOffset>-564515</wp:posOffset>
          </wp:positionV>
          <wp:extent cx="7764780" cy="1209040"/>
          <wp:effectExtent l="0" t="0" r="7620" b="0"/>
          <wp:wrapThrough wrapText="bothSides">
            <wp:wrapPolygon edited="0">
              <wp:start x="212" y="0"/>
              <wp:lineTo x="53" y="1702"/>
              <wp:lineTo x="0" y="18378"/>
              <wp:lineTo x="265" y="21101"/>
              <wp:lineTo x="1855" y="21101"/>
              <wp:lineTo x="21568" y="19739"/>
              <wp:lineTo x="21568" y="3403"/>
              <wp:lineTo x="20720" y="3403"/>
              <wp:lineTo x="7366" y="0"/>
              <wp:lineTo x="212"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solares\AppData\Local\Microsoft\Windows\INetCache\Content.Word\Cabezote hoja membrete Aguas Regionales 2019.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4780" cy="120904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46E38"/>
    <w:multiLevelType w:val="hybridMultilevel"/>
    <w:tmpl w:val="CBE0F5A8"/>
    <w:lvl w:ilvl="0" w:tplc="8F846456">
      <w:start w:val="10"/>
      <w:numFmt w:val="bullet"/>
      <w:lvlText w:val=""/>
      <w:lvlJc w:val="left"/>
      <w:pPr>
        <w:ind w:left="720" w:hanging="360"/>
      </w:pPr>
      <w:rPr>
        <w:rFonts w:ascii="Symbol" w:eastAsiaTheme="minorHAnsi" w:hAnsi="Symbol" w:cs="Arial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5B07C5A"/>
    <w:multiLevelType w:val="hybridMultilevel"/>
    <w:tmpl w:val="01B27B56"/>
    <w:lvl w:ilvl="0" w:tplc="17A8DCE0">
      <w:start w:val="10"/>
      <w:numFmt w:val="bullet"/>
      <w:lvlText w:val=""/>
      <w:lvlJc w:val="left"/>
      <w:pPr>
        <w:ind w:left="1080" w:hanging="360"/>
      </w:pPr>
      <w:rPr>
        <w:rFonts w:ascii="Symbol" w:eastAsiaTheme="minorHAnsi" w:hAnsi="Symbol" w:cs="ArialM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32757630"/>
    <w:multiLevelType w:val="hybridMultilevel"/>
    <w:tmpl w:val="B64E75BC"/>
    <w:lvl w:ilvl="0" w:tplc="E0EC5434">
      <w:start w:val="10"/>
      <w:numFmt w:val="bullet"/>
      <w:lvlText w:val=""/>
      <w:lvlJc w:val="left"/>
      <w:pPr>
        <w:ind w:left="1080" w:hanging="360"/>
      </w:pPr>
      <w:rPr>
        <w:rFonts w:ascii="Symbol" w:eastAsiaTheme="minorHAnsi" w:hAnsi="Symbol" w:cs="ArialM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38D16814"/>
    <w:multiLevelType w:val="hybridMultilevel"/>
    <w:tmpl w:val="CEF2A508"/>
    <w:lvl w:ilvl="0" w:tplc="1916CCC2">
      <w:start w:val="10"/>
      <w:numFmt w:val="bullet"/>
      <w:lvlText w:val=""/>
      <w:lvlJc w:val="left"/>
      <w:pPr>
        <w:ind w:left="1080" w:hanging="360"/>
      </w:pPr>
      <w:rPr>
        <w:rFonts w:ascii="Symbol" w:eastAsiaTheme="minorHAnsi" w:hAnsi="Symbol" w:cs="ArialM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40A00547"/>
    <w:multiLevelType w:val="hybridMultilevel"/>
    <w:tmpl w:val="F4A6210A"/>
    <w:lvl w:ilvl="0" w:tplc="E278B7FC">
      <w:start w:val="10"/>
      <w:numFmt w:val="bullet"/>
      <w:lvlText w:val=""/>
      <w:lvlJc w:val="left"/>
      <w:pPr>
        <w:ind w:left="1080" w:hanging="360"/>
      </w:pPr>
      <w:rPr>
        <w:rFonts w:ascii="Symbol" w:eastAsiaTheme="minorHAnsi" w:hAnsi="Symbol" w:cs="ArialM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497C7032"/>
    <w:multiLevelType w:val="hybridMultilevel"/>
    <w:tmpl w:val="66265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C9B7C86"/>
    <w:multiLevelType w:val="hybridMultilevel"/>
    <w:tmpl w:val="A4D642EE"/>
    <w:lvl w:ilvl="0" w:tplc="7C1A59C8">
      <w:start w:val="10"/>
      <w:numFmt w:val="bullet"/>
      <w:lvlText w:val=""/>
      <w:lvlJc w:val="left"/>
      <w:pPr>
        <w:ind w:left="720" w:hanging="360"/>
      </w:pPr>
      <w:rPr>
        <w:rFonts w:ascii="Symbol" w:eastAsiaTheme="minorHAnsi" w:hAnsi="Symbol" w:cs="Arial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D960C00"/>
    <w:multiLevelType w:val="hybridMultilevel"/>
    <w:tmpl w:val="09FC8C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DA54DFB"/>
    <w:multiLevelType w:val="hybridMultilevel"/>
    <w:tmpl w:val="9F3C5A12"/>
    <w:lvl w:ilvl="0" w:tplc="BF6ADAAC">
      <w:start w:val="10"/>
      <w:numFmt w:val="bullet"/>
      <w:lvlText w:val=""/>
      <w:lvlJc w:val="left"/>
      <w:pPr>
        <w:ind w:left="720" w:hanging="360"/>
      </w:pPr>
      <w:rPr>
        <w:rFonts w:ascii="Symbol" w:eastAsiaTheme="minorHAnsi" w:hAnsi="Symbol" w:cs="Arial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E5E61F4"/>
    <w:multiLevelType w:val="hybridMultilevel"/>
    <w:tmpl w:val="953EE010"/>
    <w:lvl w:ilvl="0" w:tplc="2B104AA2">
      <w:start w:val="10"/>
      <w:numFmt w:val="bullet"/>
      <w:lvlText w:val=""/>
      <w:lvlJc w:val="left"/>
      <w:pPr>
        <w:ind w:left="1080" w:hanging="360"/>
      </w:pPr>
      <w:rPr>
        <w:rFonts w:ascii="Symbol" w:eastAsiaTheme="minorHAnsi" w:hAnsi="Symbol" w:cs="ArialM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7B651220"/>
    <w:multiLevelType w:val="hybridMultilevel"/>
    <w:tmpl w:val="F72843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5"/>
  </w:num>
  <w:num w:numId="3">
    <w:abstractNumId w:val="6"/>
  </w:num>
  <w:num w:numId="4">
    <w:abstractNumId w:val="4"/>
  </w:num>
  <w:num w:numId="5">
    <w:abstractNumId w:val="8"/>
  </w:num>
  <w:num w:numId="6">
    <w:abstractNumId w:val="0"/>
  </w:num>
  <w:num w:numId="7">
    <w:abstractNumId w:val="2"/>
  </w:num>
  <w:num w:numId="8">
    <w:abstractNumId w:val="1"/>
  </w:num>
  <w:num w:numId="9">
    <w:abstractNumId w:val="3"/>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2C5"/>
    <w:rsid w:val="0001004B"/>
    <w:rsid w:val="00011F37"/>
    <w:rsid w:val="000122B4"/>
    <w:rsid w:val="000122BE"/>
    <w:rsid w:val="00012837"/>
    <w:rsid w:val="000136B2"/>
    <w:rsid w:val="00022BB1"/>
    <w:rsid w:val="00025E18"/>
    <w:rsid w:val="000400E2"/>
    <w:rsid w:val="0004463B"/>
    <w:rsid w:val="00045BA6"/>
    <w:rsid w:val="000641A8"/>
    <w:rsid w:val="00072532"/>
    <w:rsid w:val="00073B73"/>
    <w:rsid w:val="00074063"/>
    <w:rsid w:val="00074E83"/>
    <w:rsid w:val="000772DE"/>
    <w:rsid w:val="000904EE"/>
    <w:rsid w:val="000911AF"/>
    <w:rsid w:val="00092C35"/>
    <w:rsid w:val="00096E97"/>
    <w:rsid w:val="000B34CD"/>
    <w:rsid w:val="000B5D50"/>
    <w:rsid w:val="000B6F64"/>
    <w:rsid w:val="000C082B"/>
    <w:rsid w:val="000C7A95"/>
    <w:rsid w:val="000F497B"/>
    <w:rsid w:val="001016C3"/>
    <w:rsid w:val="001050DC"/>
    <w:rsid w:val="00107CAE"/>
    <w:rsid w:val="001137EB"/>
    <w:rsid w:val="00125431"/>
    <w:rsid w:val="001334FD"/>
    <w:rsid w:val="00140037"/>
    <w:rsid w:val="0015204E"/>
    <w:rsid w:val="001544FD"/>
    <w:rsid w:val="00155481"/>
    <w:rsid w:val="00165E99"/>
    <w:rsid w:val="001854CC"/>
    <w:rsid w:val="0018660F"/>
    <w:rsid w:val="001A0968"/>
    <w:rsid w:val="001A2040"/>
    <w:rsid w:val="001A7DD4"/>
    <w:rsid w:val="001B5DBD"/>
    <w:rsid w:val="001D1BC8"/>
    <w:rsid w:val="001E4245"/>
    <w:rsid w:val="001E5A3E"/>
    <w:rsid w:val="001E7C92"/>
    <w:rsid w:val="001E7F19"/>
    <w:rsid w:val="001F1527"/>
    <w:rsid w:val="001F174A"/>
    <w:rsid w:val="001F1A03"/>
    <w:rsid w:val="001F4DAA"/>
    <w:rsid w:val="001F5E67"/>
    <w:rsid w:val="002026EB"/>
    <w:rsid w:val="00211EDC"/>
    <w:rsid w:val="002333F6"/>
    <w:rsid w:val="002349F1"/>
    <w:rsid w:val="00235FD3"/>
    <w:rsid w:val="00243320"/>
    <w:rsid w:val="00244A22"/>
    <w:rsid w:val="00247290"/>
    <w:rsid w:val="002536F2"/>
    <w:rsid w:val="002655F9"/>
    <w:rsid w:val="0027003A"/>
    <w:rsid w:val="00277190"/>
    <w:rsid w:val="0028043B"/>
    <w:rsid w:val="0028254E"/>
    <w:rsid w:val="00282BAD"/>
    <w:rsid w:val="00282FDF"/>
    <w:rsid w:val="00292EF2"/>
    <w:rsid w:val="002943F9"/>
    <w:rsid w:val="002A08B7"/>
    <w:rsid w:val="002A4B7D"/>
    <w:rsid w:val="002B1606"/>
    <w:rsid w:val="002B3096"/>
    <w:rsid w:val="002B5DD1"/>
    <w:rsid w:val="002B6868"/>
    <w:rsid w:val="002C191B"/>
    <w:rsid w:val="002F10C0"/>
    <w:rsid w:val="002F1C64"/>
    <w:rsid w:val="002F2617"/>
    <w:rsid w:val="002F2EBF"/>
    <w:rsid w:val="003027B1"/>
    <w:rsid w:val="003133F4"/>
    <w:rsid w:val="00317B9E"/>
    <w:rsid w:val="003219A3"/>
    <w:rsid w:val="00327438"/>
    <w:rsid w:val="003310C5"/>
    <w:rsid w:val="00334A71"/>
    <w:rsid w:val="00334EC3"/>
    <w:rsid w:val="00341C03"/>
    <w:rsid w:val="003438A2"/>
    <w:rsid w:val="00343A8B"/>
    <w:rsid w:val="00350497"/>
    <w:rsid w:val="003574BF"/>
    <w:rsid w:val="0036425B"/>
    <w:rsid w:val="00371710"/>
    <w:rsid w:val="003720AC"/>
    <w:rsid w:val="00375707"/>
    <w:rsid w:val="003801FF"/>
    <w:rsid w:val="00390E4A"/>
    <w:rsid w:val="003A0233"/>
    <w:rsid w:val="003A53F3"/>
    <w:rsid w:val="003A692A"/>
    <w:rsid w:val="003A743B"/>
    <w:rsid w:val="003A7D1D"/>
    <w:rsid w:val="003B44F2"/>
    <w:rsid w:val="003B649A"/>
    <w:rsid w:val="003C58ED"/>
    <w:rsid w:val="003D19E3"/>
    <w:rsid w:val="003D2670"/>
    <w:rsid w:val="003D40B9"/>
    <w:rsid w:val="003D5EA3"/>
    <w:rsid w:val="003E0CE3"/>
    <w:rsid w:val="003F310B"/>
    <w:rsid w:val="0040480A"/>
    <w:rsid w:val="00406894"/>
    <w:rsid w:val="00407A71"/>
    <w:rsid w:val="004100EE"/>
    <w:rsid w:val="00414428"/>
    <w:rsid w:val="004243D0"/>
    <w:rsid w:val="00426B46"/>
    <w:rsid w:val="00427124"/>
    <w:rsid w:val="00430A60"/>
    <w:rsid w:val="00431BCE"/>
    <w:rsid w:val="0044300C"/>
    <w:rsid w:val="0044312F"/>
    <w:rsid w:val="004468C2"/>
    <w:rsid w:val="00446EA7"/>
    <w:rsid w:val="00463FF5"/>
    <w:rsid w:val="004662C9"/>
    <w:rsid w:val="004679A3"/>
    <w:rsid w:val="00472C5F"/>
    <w:rsid w:val="00482991"/>
    <w:rsid w:val="00482B98"/>
    <w:rsid w:val="00484E39"/>
    <w:rsid w:val="00497FAD"/>
    <w:rsid w:val="004A3439"/>
    <w:rsid w:val="004A51B5"/>
    <w:rsid w:val="004B6FBD"/>
    <w:rsid w:val="004B765B"/>
    <w:rsid w:val="004C0586"/>
    <w:rsid w:val="004C20BC"/>
    <w:rsid w:val="004C3782"/>
    <w:rsid w:val="004C458D"/>
    <w:rsid w:val="004C5B12"/>
    <w:rsid w:val="004E028E"/>
    <w:rsid w:val="004E20D8"/>
    <w:rsid w:val="004F0D05"/>
    <w:rsid w:val="0050041D"/>
    <w:rsid w:val="005053C8"/>
    <w:rsid w:val="0051749A"/>
    <w:rsid w:val="00517A69"/>
    <w:rsid w:val="00521BDA"/>
    <w:rsid w:val="00525FDA"/>
    <w:rsid w:val="0053091E"/>
    <w:rsid w:val="005334FB"/>
    <w:rsid w:val="00542784"/>
    <w:rsid w:val="00542DD9"/>
    <w:rsid w:val="00550833"/>
    <w:rsid w:val="00556141"/>
    <w:rsid w:val="00563166"/>
    <w:rsid w:val="00572B7A"/>
    <w:rsid w:val="005754A9"/>
    <w:rsid w:val="0057659C"/>
    <w:rsid w:val="0058194C"/>
    <w:rsid w:val="00584406"/>
    <w:rsid w:val="00593FA4"/>
    <w:rsid w:val="00594631"/>
    <w:rsid w:val="0059593D"/>
    <w:rsid w:val="005A0922"/>
    <w:rsid w:val="005A1616"/>
    <w:rsid w:val="005A2D52"/>
    <w:rsid w:val="005A4B06"/>
    <w:rsid w:val="005A4B2A"/>
    <w:rsid w:val="005B13B0"/>
    <w:rsid w:val="005B2597"/>
    <w:rsid w:val="005B271E"/>
    <w:rsid w:val="005B3ED0"/>
    <w:rsid w:val="005C3E65"/>
    <w:rsid w:val="005C5CA2"/>
    <w:rsid w:val="005D73EB"/>
    <w:rsid w:val="00604455"/>
    <w:rsid w:val="00606C2C"/>
    <w:rsid w:val="00612AFE"/>
    <w:rsid w:val="00616D0F"/>
    <w:rsid w:val="006439EF"/>
    <w:rsid w:val="006448EF"/>
    <w:rsid w:val="00644CDF"/>
    <w:rsid w:val="006502BC"/>
    <w:rsid w:val="00651244"/>
    <w:rsid w:val="006515DF"/>
    <w:rsid w:val="00656C5E"/>
    <w:rsid w:val="00660ECD"/>
    <w:rsid w:val="00661749"/>
    <w:rsid w:val="006621F8"/>
    <w:rsid w:val="00662D18"/>
    <w:rsid w:val="006635C7"/>
    <w:rsid w:val="006662FD"/>
    <w:rsid w:val="006766C3"/>
    <w:rsid w:val="00680D27"/>
    <w:rsid w:val="00681DF0"/>
    <w:rsid w:val="00684C77"/>
    <w:rsid w:val="0069022A"/>
    <w:rsid w:val="006918AE"/>
    <w:rsid w:val="006A2228"/>
    <w:rsid w:val="006A2F24"/>
    <w:rsid w:val="006A6D40"/>
    <w:rsid w:val="006A736A"/>
    <w:rsid w:val="006C331A"/>
    <w:rsid w:val="006E5736"/>
    <w:rsid w:val="006F0643"/>
    <w:rsid w:val="006F1CC4"/>
    <w:rsid w:val="006F6285"/>
    <w:rsid w:val="006F6D07"/>
    <w:rsid w:val="006F7907"/>
    <w:rsid w:val="00701D3B"/>
    <w:rsid w:val="00707C98"/>
    <w:rsid w:val="00707F8B"/>
    <w:rsid w:val="00712741"/>
    <w:rsid w:val="0071449B"/>
    <w:rsid w:val="00715DFA"/>
    <w:rsid w:val="0072036E"/>
    <w:rsid w:val="00721D87"/>
    <w:rsid w:val="00725C53"/>
    <w:rsid w:val="00727476"/>
    <w:rsid w:val="00734945"/>
    <w:rsid w:val="00740FD1"/>
    <w:rsid w:val="007436EC"/>
    <w:rsid w:val="007470A0"/>
    <w:rsid w:val="00757298"/>
    <w:rsid w:val="00777C51"/>
    <w:rsid w:val="00792925"/>
    <w:rsid w:val="007B0D62"/>
    <w:rsid w:val="007B13F5"/>
    <w:rsid w:val="007B2188"/>
    <w:rsid w:val="007B3D19"/>
    <w:rsid w:val="007B4760"/>
    <w:rsid w:val="007B6CDD"/>
    <w:rsid w:val="007C3F72"/>
    <w:rsid w:val="007C52BC"/>
    <w:rsid w:val="007C6262"/>
    <w:rsid w:val="007D7388"/>
    <w:rsid w:val="007E216A"/>
    <w:rsid w:val="007E346C"/>
    <w:rsid w:val="007F3CBB"/>
    <w:rsid w:val="008003DA"/>
    <w:rsid w:val="00810D57"/>
    <w:rsid w:val="00815DC6"/>
    <w:rsid w:val="00816099"/>
    <w:rsid w:val="0082403E"/>
    <w:rsid w:val="00831659"/>
    <w:rsid w:val="00841B3D"/>
    <w:rsid w:val="0084670B"/>
    <w:rsid w:val="008511D7"/>
    <w:rsid w:val="00852DD0"/>
    <w:rsid w:val="00861DFF"/>
    <w:rsid w:val="00866C9F"/>
    <w:rsid w:val="00870D4A"/>
    <w:rsid w:val="00876E0F"/>
    <w:rsid w:val="00877059"/>
    <w:rsid w:val="00880FE4"/>
    <w:rsid w:val="0088654A"/>
    <w:rsid w:val="00890031"/>
    <w:rsid w:val="008A0163"/>
    <w:rsid w:val="008A19C0"/>
    <w:rsid w:val="008A5CA8"/>
    <w:rsid w:val="008A668C"/>
    <w:rsid w:val="008B13F0"/>
    <w:rsid w:val="008C2BE2"/>
    <w:rsid w:val="008D1AED"/>
    <w:rsid w:val="008D28BB"/>
    <w:rsid w:val="008E1F10"/>
    <w:rsid w:val="008E6FE4"/>
    <w:rsid w:val="008F0309"/>
    <w:rsid w:val="008F0780"/>
    <w:rsid w:val="008F68F0"/>
    <w:rsid w:val="00900B1C"/>
    <w:rsid w:val="009015FC"/>
    <w:rsid w:val="00901BD4"/>
    <w:rsid w:val="009051BD"/>
    <w:rsid w:val="00907901"/>
    <w:rsid w:val="00916A23"/>
    <w:rsid w:val="00920969"/>
    <w:rsid w:val="00925257"/>
    <w:rsid w:val="0092624F"/>
    <w:rsid w:val="00936885"/>
    <w:rsid w:val="009419B4"/>
    <w:rsid w:val="00947330"/>
    <w:rsid w:val="009557BE"/>
    <w:rsid w:val="00956BB6"/>
    <w:rsid w:val="0095751B"/>
    <w:rsid w:val="00957566"/>
    <w:rsid w:val="00962126"/>
    <w:rsid w:val="0097004D"/>
    <w:rsid w:val="00974E0E"/>
    <w:rsid w:val="00976668"/>
    <w:rsid w:val="009872A6"/>
    <w:rsid w:val="00990FBD"/>
    <w:rsid w:val="00994A5F"/>
    <w:rsid w:val="00995022"/>
    <w:rsid w:val="009B579F"/>
    <w:rsid w:val="009B6359"/>
    <w:rsid w:val="009C1480"/>
    <w:rsid w:val="009C1F15"/>
    <w:rsid w:val="009C2372"/>
    <w:rsid w:val="009C7CED"/>
    <w:rsid w:val="009D05ED"/>
    <w:rsid w:val="009F27A3"/>
    <w:rsid w:val="009F28CE"/>
    <w:rsid w:val="009F57FE"/>
    <w:rsid w:val="00A03470"/>
    <w:rsid w:val="00A06F8F"/>
    <w:rsid w:val="00A12790"/>
    <w:rsid w:val="00A15A44"/>
    <w:rsid w:val="00A1629E"/>
    <w:rsid w:val="00A16E7B"/>
    <w:rsid w:val="00A221E9"/>
    <w:rsid w:val="00A33DC6"/>
    <w:rsid w:val="00A36093"/>
    <w:rsid w:val="00A403BE"/>
    <w:rsid w:val="00A42582"/>
    <w:rsid w:val="00A4701C"/>
    <w:rsid w:val="00A53715"/>
    <w:rsid w:val="00A575B6"/>
    <w:rsid w:val="00A60C57"/>
    <w:rsid w:val="00A61136"/>
    <w:rsid w:val="00A62739"/>
    <w:rsid w:val="00A7248B"/>
    <w:rsid w:val="00A72922"/>
    <w:rsid w:val="00A73AB7"/>
    <w:rsid w:val="00A80E67"/>
    <w:rsid w:val="00A81356"/>
    <w:rsid w:val="00AA2EBF"/>
    <w:rsid w:val="00AA6B3E"/>
    <w:rsid w:val="00AA7D4B"/>
    <w:rsid w:val="00AB3B33"/>
    <w:rsid w:val="00AD5046"/>
    <w:rsid w:val="00AD5A4B"/>
    <w:rsid w:val="00AD5F7E"/>
    <w:rsid w:val="00AE0501"/>
    <w:rsid w:val="00AE7857"/>
    <w:rsid w:val="00B01458"/>
    <w:rsid w:val="00B12F49"/>
    <w:rsid w:val="00B15CCD"/>
    <w:rsid w:val="00B20E2A"/>
    <w:rsid w:val="00B23A2F"/>
    <w:rsid w:val="00B34F40"/>
    <w:rsid w:val="00B43369"/>
    <w:rsid w:val="00B536E9"/>
    <w:rsid w:val="00B642F0"/>
    <w:rsid w:val="00B642F4"/>
    <w:rsid w:val="00B67CFF"/>
    <w:rsid w:val="00B67E3D"/>
    <w:rsid w:val="00B72B52"/>
    <w:rsid w:val="00B72C97"/>
    <w:rsid w:val="00B801B8"/>
    <w:rsid w:val="00B8464E"/>
    <w:rsid w:val="00B84E72"/>
    <w:rsid w:val="00B87653"/>
    <w:rsid w:val="00B92617"/>
    <w:rsid w:val="00BA0B9F"/>
    <w:rsid w:val="00BA46F3"/>
    <w:rsid w:val="00BA77EC"/>
    <w:rsid w:val="00BB23B8"/>
    <w:rsid w:val="00BB36C7"/>
    <w:rsid w:val="00BC6E2A"/>
    <w:rsid w:val="00BD1B73"/>
    <w:rsid w:val="00BD348C"/>
    <w:rsid w:val="00BD72EB"/>
    <w:rsid w:val="00BE300F"/>
    <w:rsid w:val="00BE3752"/>
    <w:rsid w:val="00BE4221"/>
    <w:rsid w:val="00BF0AD6"/>
    <w:rsid w:val="00BF507E"/>
    <w:rsid w:val="00BF66CB"/>
    <w:rsid w:val="00BF7866"/>
    <w:rsid w:val="00C11936"/>
    <w:rsid w:val="00C171D6"/>
    <w:rsid w:val="00C25535"/>
    <w:rsid w:val="00C275C6"/>
    <w:rsid w:val="00C30A8F"/>
    <w:rsid w:val="00C310B0"/>
    <w:rsid w:val="00C33603"/>
    <w:rsid w:val="00C37F5A"/>
    <w:rsid w:val="00C54B08"/>
    <w:rsid w:val="00C54BCE"/>
    <w:rsid w:val="00C55575"/>
    <w:rsid w:val="00C62D1C"/>
    <w:rsid w:val="00C62D42"/>
    <w:rsid w:val="00C65CB2"/>
    <w:rsid w:val="00C72CE5"/>
    <w:rsid w:val="00C743D6"/>
    <w:rsid w:val="00C76BF1"/>
    <w:rsid w:val="00C76DA3"/>
    <w:rsid w:val="00C813F9"/>
    <w:rsid w:val="00C82EB6"/>
    <w:rsid w:val="00C862AD"/>
    <w:rsid w:val="00C87461"/>
    <w:rsid w:val="00CA0F6F"/>
    <w:rsid w:val="00CA6451"/>
    <w:rsid w:val="00CB0422"/>
    <w:rsid w:val="00CB13BE"/>
    <w:rsid w:val="00CB6B4F"/>
    <w:rsid w:val="00CB798C"/>
    <w:rsid w:val="00CC337D"/>
    <w:rsid w:val="00CC58BF"/>
    <w:rsid w:val="00CC6D22"/>
    <w:rsid w:val="00CD1FC3"/>
    <w:rsid w:val="00CD2B79"/>
    <w:rsid w:val="00CE0D24"/>
    <w:rsid w:val="00CE149B"/>
    <w:rsid w:val="00CE1A56"/>
    <w:rsid w:val="00CF1810"/>
    <w:rsid w:val="00CF2021"/>
    <w:rsid w:val="00D11C48"/>
    <w:rsid w:val="00D2646D"/>
    <w:rsid w:val="00D41E34"/>
    <w:rsid w:val="00D445A1"/>
    <w:rsid w:val="00D46829"/>
    <w:rsid w:val="00D46F78"/>
    <w:rsid w:val="00D50001"/>
    <w:rsid w:val="00D565E8"/>
    <w:rsid w:val="00D613D3"/>
    <w:rsid w:val="00D623DE"/>
    <w:rsid w:val="00D7384B"/>
    <w:rsid w:val="00D76E38"/>
    <w:rsid w:val="00D826EB"/>
    <w:rsid w:val="00D82765"/>
    <w:rsid w:val="00D83236"/>
    <w:rsid w:val="00D92474"/>
    <w:rsid w:val="00D943DE"/>
    <w:rsid w:val="00D95C55"/>
    <w:rsid w:val="00DA0DA0"/>
    <w:rsid w:val="00DB0C01"/>
    <w:rsid w:val="00DB22F4"/>
    <w:rsid w:val="00DB2D14"/>
    <w:rsid w:val="00DB2F17"/>
    <w:rsid w:val="00DB4C9C"/>
    <w:rsid w:val="00DB5C9D"/>
    <w:rsid w:val="00DC0C1B"/>
    <w:rsid w:val="00DD0F3F"/>
    <w:rsid w:val="00DD7EB2"/>
    <w:rsid w:val="00DE1884"/>
    <w:rsid w:val="00E0075D"/>
    <w:rsid w:val="00E11523"/>
    <w:rsid w:val="00E11FD6"/>
    <w:rsid w:val="00E12817"/>
    <w:rsid w:val="00E1538F"/>
    <w:rsid w:val="00E213EB"/>
    <w:rsid w:val="00E249EE"/>
    <w:rsid w:val="00E252C5"/>
    <w:rsid w:val="00E3061C"/>
    <w:rsid w:val="00E373C8"/>
    <w:rsid w:val="00E3746F"/>
    <w:rsid w:val="00E45BF8"/>
    <w:rsid w:val="00E5644A"/>
    <w:rsid w:val="00E627C8"/>
    <w:rsid w:val="00E63298"/>
    <w:rsid w:val="00E723F7"/>
    <w:rsid w:val="00E72B79"/>
    <w:rsid w:val="00E86CA9"/>
    <w:rsid w:val="00E87FEB"/>
    <w:rsid w:val="00E92F88"/>
    <w:rsid w:val="00EA00AC"/>
    <w:rsid w:val="00EA0206"/>
    <w:rsid w:val="00EA042C"/>
    <w:rsid w:val="00EA0AEA"/>
    <w:rsid w:val="00EA40B3"/>
    <w:rsid w:val="00EA6C66"/>
    <w:rsid w:val="00EB4939"/>
    <w:rsid w:val="00EB6E53"/>
    <w:rsid w:val="00EB6F50"/>
    <w:rsid w:val="00EC7873"/>
    <w:rsid w:val="00ED4C8F"/>
    <w:rsid w:val="00EE10C1"/>
    <w:rsid w:val="00EE413A"/>
    <w:rsid w:val="00EE7122"/>
    <w:rsid w:val="00EF27FC"/>
    <w:rsid w:val="00EF6E7D"/>
    <w:rsid w:val="00F06F1F"/>
    <w:rsid w:val="00F07DA5"/>
    <w:rsid w:val="00F1696F"/>
    <w:rsid w:val="00F36891"/>
    <w:rsid w:val="00F40A66"/>
    <w:rsid w:val="00F455D1"/>
    <w:rsid w:val="00F476C3"/>
    <w:rsid w:val="00F47DD1"/>
    <w:rsid w:val="00F52B28"/>
    <w:rsid w:val="00F53957"/>
    <w:rsid w:val="00F54BDE"/>
    <w:rsid w:val="00F571D2"/>
    <w:rsid w:val="00F5769F"/>
    <w:rsid w:val="00F76F9D"/>
    <w:rsid w:val="00F77609"/>
    <w:rsid w:val="00F92A3F"/>
    <w:rsid w:val="00F93079"/>
    <w:rsid w:val="00F943D9"/>
    <w:rsid w:val="00F94465"/>
    <w:rsid w:val="00FA0DB2"/>
    <w:rsid w:val="00FA3FBF"/>
    <w:rsid w:val="00FB3916"/>
    <w:rsid w:val="00FC4235"/>
    <w:rsid w:val="00FC6B57"/>
    <w:rsid w:val="00FE52C1"/>
    <w:rsid w:val="00FF0F93"/>
    <w:rsid w:val="00FF60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9AEDC"/>
  <w15:chartTrackingRefBased/>
  <w15:docId w15:val="{9272BC08-DD49-4F2A-833C-1E160084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Y EPM - Lista,Viñeta"/>
    <w:basedOn w:val="Normal"/>
    <w:link w:val="PrrafodelistaCar"/>
    <w:uiPriority w:val="34"/>
    <w:qFormat/>
    <w:rsid w:val="00E252C5"/>
    <w:pPr>
      <w:ind w:left="720"/>
      <w:contextualSpacing/>
    </w:pPr>
  </w:style>
  <w:style w:type="character" w:styleId="Refdecomentario">
    <w:name w:val="annotation reference"/>
    <w:basedOn w:val="Fuentedeprrafopredeter"/>
    <w:uiPriority w:val="99"/>
    <w:semiHidden/>
    <w:unhideWhenUsed/>
    <w:rsid w:val="00D83236"/>
    <w:rPr>
      <w:sz w:val="16"/>
      <w:szCs w:val="16"/>
    </w:rPr>
  </w:style>
  <w:style w:type="paragraph" w:styleId="Textocomentario">
    <w:name w:val="annotation text"/>
    <w:basedOn w:val="Normal"/>
    <w:link w:val="TextocomentarioCar"/>
    <w:uiPriority w:val="99"/>
    <w:semiHidden/>
    <w:unhideWhenUsed/>
    <w:rsid w:val="00D8323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83236"/>
    <w:rPr>
      <w:sz w:val="20"/>
      <w:szCs w:val="20"/>
    </w:rPr>
  </w:style>
  <w:style w:type="paragraph" w:styleId="Asuntodelcomentario">
    <w:name w:val="annotation subject"/>
    <w:basedOn w:val="Textocomentario"/>
    <w:next w:val="Textocomentario"/>
    <w:link w:val="AsuntodelcomentarioCar"/>
    <w:uiPriority w:val="99"/>
    <w:semiHidden/>
    <w:unhideWhenUsed/>
    <w:rsid w:val="00D83236"/>
    <w:rPr>
      <w:b/>
      <w:bCs/>
    </w:rPr>
  </w:style>
  <w:style w:type="character" w:customStyle="1" w:styleId="AsuntodelcomentarioCar">
    <w:name w:val="Asunto del comentario Car"/>
    <w:basedOn w:val="TextocomentarioCar"/>
    <w:link w:val="Asuntodelcomentario"/>
    <w:uiPriority w:val="99"/>
    <w:semiHidden/>
    <w:rsid w:val="00D83236"/>
    <w:rPr>
      <w:b/>
      <w:bCs/>
      <w:sz w:val="20"/>
      <w:szCs w:val="20"/>
    </w:rPr>
  </w:style>
  <w:style w:type="paragraph" w:styleId="Textodeglobo">
    <w:name w:val="Balloon Text"/>
    <w:basedOn w:val="Normal"/>
    <w:link w:val="TextodegloboCar"/>
    <w:uiPriority w:val="99"/>
    <w:semiHidden/>
    <w:unhideWhenUsed/>
    <w:rsid w:val="00D832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3236"/>
    <w:rPr>
      <w:rFonts w:ascii="Segoe UI" w:hAnsi="Segoe UI" w:cs="Segoe UI"/>
      <w:sz w:val="18"/>
      <w:szCs w:val="18"/>
    </w:rPr>
  </w:style>
  <w:style w:type="character" w:customStyle="1" w:styleId="letra8pt">
    <w:name w:val="letra8pt"/>
    <w:basedOn w:val="Fuentedeprrafopredeter"/>
    <w:rsid w:val="00CA6451"/>
  </w:style>
  <w:style w:type="paragraph" w:styleId="Revisin">
    <w:name w:val="Revision"/>
    <w:hidden/>
    <w:uiPriority w:val="99"/>
    <w:semiHidden/>
    <w:rsid w:val="00D41E34"/>
    <w:pPr>
      <w:spacing w:after="0" w:line="240" w:lineRule="auto"/>
    </w:pPr>
  </w:style>
  <w:style w:type="paragraph" w:styleId="Encabezado">
    <w:name w:val="header"/>
    <w:basedOn w:val="Normal"/>
    <w:link w:val="EncabezadoCar"/>
    <w:uiPriority w:val="99"/>
    <w:unhideWhenUsed/>
    <w:rsid w:val="006918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18AE"/>
  </w:style>
  <w:style w:type="paragraph" w:styleId="Piedepgina">
    <w:name w:val="footer"/>
    <w:basedOn w:val="Normal"/>
    <w:link w:val="PiedepginaCar"/>
    <w:uiPriority w:val="99"/>
    <w:unhideWhenUsed/>
    <w:rsid w:val="006918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18AE"/>
  </w:style>
  <w:style w:type="table" w:styleId="Tablaconcuadrcula">
    <w:name w:val="Table Grid"/>
    <w:basedOn w:val="Tablanormal"/>
    <w:uiPriority w:val="39"/>
    <w:rsid w:val="00EE4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4">
    <w:name w:val="Estilo4"/>
    <w:basedOn w:val="Fuentedeprrafopredeter"/>
    <w:uiPriority w:val="1"/>
    <w:rsid w:val="00C62D42"/>
    <w:rPr>
      <w:rFonts w:ascii="Arial" w:hAnsi="Arial"/>
      <w:color w:val="auto"/>
      <w:sz w:val="24"/>
    </w:rPr>
  </w:style>
  <w:style w:type="paragraph" w:customStyle="1" w:styleId="Estilo5">
    <w:name w:val="Estilo5"/>
    <w:basedOn w:val="Normal"/>
    <w:qFormat/>
    <w:rsid w:val="00C62D42"/>
    <w:pPr>
      <w:tabs>
        <w:tab w:val="left" w:pos="2410"/>
        <w:tab w:val="left" w:pos="4253"/>
      </w:tabs>
      <w:spacing w:after="0" w:line="240" w:lineRule="auto"/>
      <w:ind w:left="180"/>
      <w:jc w:val="center"/>
    </w:pPr>
    <w:rPr>
      <w:rFonts w:ascii="Arial" w:eastAsia="Times New Roman" w:hAnsi="Arial" w:cs="Times New Roman"/>
      <w:b/>
      <w:lang w:val="es-ES" w:eastAsia="es-ES"/>
    </w:rPr>
  </w:style>
  <w:style w:type="paragraph" w:customStyle="1" w:styleId="Estilo6">
    <w:name w:val="Estilo6"/>
    <w:basedOn w:val="Normal"/>
    <w:qFormat/>
    <w:rsid w:val="00C62D42"/>
    <w:pPr>
      <w:tabs>
        <w:tab w:val="left" w:pos="2410"/>
      </w:tabs>
      <w:spacing w:after="0" w:line="240" w:lineRule="auto"/>
    </w:pPr>
    <w:rPr>
      <w:rFonts w:ascii="Arial" w:eastAsia="Times New Roman" w:hAnsi="Arial" w:cs="Times New Roman"/>
      <w:b/>
      <w:lang w:val="es-ES" w:eastAsia="es-ES"/>
    </w:rPr>
  </w:style>
  <w:style w:type="character" w:customStyle="1" w:styleId="PrrafodelistaCar">
    <w:name w:val="Párrafo de lista Car"/>
    <w:aliases w:val="EY EPM - Lista Car,Viñeta Car"/>
    <w:link w:val="Prrafodelista"/>
    <w:uiPriority w:val="34"/>
    <w:locked/>
    <w:rsid w:val="00576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4362">
      <w:bodyDiv w:val="1"/>
      <w:marLeft w:val="0"/>
      <w:marRight w:val="0"/>
      <w:marTop w:val="0"/>
      <w:marBottom w:val="0"/>
      <w:divBdr>
        <w:top w:val="none" w:sz="0" w:space="0" w:color="auto"/>
        <w:left w:val="none" w:sz="0" w:space="0" w:color="auto"/>
        <w:bottom w:val="none" w:sz="0" w:space="0" w:color="auto"/>
        <w:right w:val="none" w:sz="0" w:space="0" w:color="auto"/>
      </w:divBdr>
    </w:div>
    <w:div w:id="133111183">
      <w:bodyDiv w:val="1"/>
      <w:marLeft w:val="0"/>
      <w:marRight w:val="0"/>
      <w:marTop w:val="0"/>
      <w:marBottom w:val="0"/>
      <w:divBdr>
        <w:top w:val="none" w:sz="0" w:space="0" w:color="auto"/>
        <w:left w:val="none" w:sz="0" w:space="0" w:color="auto"/>
        <w:bottom w:val="none" w:sz="0" w:space="0" w:color="auto"/>
        <w:right w:val="none" w:sz="0" w:space="0" w:color="auto"/>
      </w:divBdr>
    </w:div>
    <w:div w:id="198010366">
      <w:bodyDiv w:val="1"/>
      <w:marLeft w:val="0"/>
      <w:marRight w:val="0"/>
      <w:marTop w:val="0"/>
      <w:marBottom w:val="0"/>
      <w:divBdr>
        <w:top w:val="none" w:sz="0" w:space="0" w:color="auto"/>
        <w:left w:val="none" w:sz="0" w:space="0" w:color="auto"/>
        <w:bottom w:val="none" w:sz="0" w:space="0" w:color="auto"/>
        <w:right w:val="none" w:sz="0" w:space="0" w:color="auto"/>
      </w:divBdr>
    </w:div>
    <w:div w:id="219294625">
      <w:bodyDiv w:val="1"/>
      <w:marLeft w:val="0"/>
      <w:marRight w:val="0"/>
      <w:marTop w:val="0"/>
      <w:marBottom w:val="0"/>
      <w:divBdr>
        <w:top w:val="none" w:sz="0" w:space="0" w:color="auto"/>
        <w:left w:val="none" w:sz="0" w:space="0" w:color="auto"/>
        <w:bottom w:val="none" w:sz="0" w:space="0" w:color="auto"/>
        <w:right w:val="none" w:sz="0" w:space="0" w:color="auto"/>
      </w:divBdr>
    </w:div>
    <w:div w:id="300037659">
      <w:bodyDiv w:val="1"/>
      <w:marLeft w:val="0"/>
      <w:marRight w:val="0"/>
      <w:marTop w:val="0"/>
      <w:marBottom w:val="0"/>
      <w:divBdr>
        <w:top w:val="none" w:sz="0" w:space="0" w:color="auto"/>
        <w:left w:val="none" w:sz="0" w:space="0" w:color="auto"/>
        <w:bottom w:val="none" w:sz="0" w:space="0" w:color="auto"/>
        <w:right w:val="none" w:sz="0" w:space="0" w:color="auto"/>
      </w:divBdr>
    </w:div>
    <w:div w:id="304118025">
      <w:bodyDiv w:val="1"/>
      <w:marLeft w:val="0"/>
      <w:marRight w:val="0"/>
      <w:marTop w:val="0"/>
      <w:marBottom w:val="0"/>
      <w:divBdr>
        <w:top w:val="none" w:sz="0" w:space="0" w:color="auto"/>
        <w:left w:val="none" w:sz="0" w:space="0" w:color="auto"/>
        <w:bottom w:val="none" w:sz="0" w:space="0" w:color="auto"/>
        <w:right w:val="none" w:sz="0" w:space="0" w:color="auto"/>
      </w:divBdr>
    </w:div>
    <w:div w:id="348413024">
      <w:bodyDiv w:val="1"/>
      <w:marLeft w:val="0"/>
      <w:marRight w:val="0"/>
      <w:marTop w:val="0"/>
      <w:marBottom w:val="0"/>
      <w:divBdr>
        <w:top w:val="none" w:sz="0" w:space="0" w:color="auto"/>
        <w:left w:val="none" w:sz="0" w:space="0" w:color="auto"/>
        <w:bottom w:val="none" w:sz="0" w:space="0" w:color="auto"/>
        <w:right w:val="none" w:sz="0" w:space="0" w:color="auto"/>
      </w:divBdr>
    </w:div>
    <w:div w:id="384834003">
      <w:bodyDiv w:val="1"/>
      <w:marLeft w:val="0"/>
      <w:marRight w:val="0"/>
      <w:marTop w:val="0"/>
      <w:marBottom w:val="0"/>
      <w:divBdr>
        <w:top w:val="none" w:sz="0" w:space="0" w:color="auto"/>
        <w:left w:val="none" w:sz="0" w:space="0" w:color="auto"/>
        <w:bottom w:val="none" w:sz="0" w:space="0" w:color="auto"/>
        <w:right w:val="none" w:sz="0" w:space="0" w:color="auto"/>
      </w:divBdr>
    </w:div>
    <w:div w:id="392193444">
      <w:bodyDiv w:val="1"/>
      <w:marLeft w:val="0"/>
      <w:marRight w:val="0"/>
      <w:marTop w:val="0"/>
      <w:marBottom w:val="0"/>
      <w:divBdr>
        <w:top w:val="none" w:sz="0" w:space="0" w:color="auto"/>
        <w:left w:val="none" w:sz="0" w:space="0" w:color="auto"/>
        <w:bottom w:val="none" w:sz="0" w:space="0" w:color="auto"/>
        <w:right w:val="none" w:sz="0" w:space="0" w:color="auto"/>
      </w:divBdr>
    </w:div>
    <w:div w:id="404374234">
      <w:bodyDiv w:val="1"/>
      <w:marLeft w:val="0"/>
      <w:marRight w:val="0"/>
      <w:marTop w:val="0"/>
      <w:marBottom w:val="0"/>
      <w:divBdr>
        <w:top w:val="none" w:sz="0" w:space="0" w:color="auto"/>
        <w:left w:val="none" w:sz="0" w:space="0" w:color="auto"/>
        <w:bottom w:val="none" w:sz="0" w:space="0" w:color="auto"/>
        <w:right w:val="none" w:sz="0" w:space="0" w:color="auto"/>
      </w:divBdr>
    </w:div>
    <w:div w:id="409542381">
      <w:bodyDiv w:val="1"/>
      <w:marLeft w:val="0"/>
      <w:marRight w:val="0"/>
      <w:marTop w:val="0"/>
      <w:marBottom w:val="0"/>
      <w:divBdr>
        <w:top w:val="none" w:sz="0" w:space="0" w:color="auto"/>
        <w:left w:val="none" w:sz="0" w:space="0" w:color="auto"/>
        <w:bottom w:val="none" w:sz="0" w:space="0" w:color="auto"/>
        <w:right w:val="none" w:sz="0" w:space="0" w:color="auto"/>
      </w:divBdr>
    </w:div>
    <w:div w:id="449671249">
      <w:bodyDiv w:val="1"/>
      <w:marLeft w:val="0"/>
      <w:marRight w:val="0"/>
      <w:marTop w:val="0"/>
      <w:marBottom w:val="0"/>
      <w:divBdr>
        <w:top w:val="none" w:sz="0" w:space="0" w:color="auto"/>
        <w:left w:val="none" w:sz="0" w:space="0" w:color="auto"/>
        <w:bottom w:val="none" w:sz="0" w:space="0" w:color="auto"/>
        <w:right w:val="none" w:sz="0" w:space="0" w:color="auto"/>
      </w:divBdr>
    </w:div>
    <w:div w:id="450324623">
      <w:bodyDiv w:val="1"/>
      <w:marLeft w:val="0"/>
      <w:marRight w:val="0"/>
      <w:marTop w:val="0"/>
      <w:marBottom w:val="0"/>
      <w:divBdr>
        <w:top w:val="none" w:sz="0" w:space="0" w:color="auto"/>
        <w:left w:val="none" w:sz="0" w:space="0" w:color="auto"/>
        <w:bottom w:val="none" w:sz="0" w:space="0" w:color="auto"/>
        <w:right w:val="none" w:sz="0" w:space="0" w:color="auto"/>
      </w:divBdr>
    </w:div>
    <w:div w:id="467477841">
      <w:bodyDiv w:val="1"/>
      <w:marLeft w:val="0"/>
      <w:marRight w:val="0"/>
      <w:marTop w:val="0"/>
      <w:marBottom w:val="0"/>
      <w:divBdr>
        <w:top w:val="none" w:sz="0" w:space="0" w:color="auto"/>
        <w:left w:val="none" w:sz="0" w:space="0" w:color="auto"/>
        <w:bottom w:val="none" w:sz="0" w:space="0" w:color="auto"/>
        <w:right w:val="none" w:sz="0" w:space="0" w:color="auto"/>
      </w:divBdr>
    </w:div>
    <w:div w:id="499934337">
      <w:bodyDiv w:val="1"/>
      <w:marLeft w:val="0"/>
      <w:marRight w:val="0"/>
      <w:marTop w:val="0"/>
      <w:marBottom w:val="0"/>
      <w:divBdr>
        <w:top w:val="none" w:sz="0" w:space="0" w:color="auto"/>
        <w:left w:val="none" w:sz="0" w:space="0" w:color="auto"/>
        <w:bottom w:val="none" w:sz="0" w:space="0" w:color="auto"/>
        <w:right w:val="none" w:sz="0" w:space="0" w:color="auto"/>
      </w:divBdr>
    </w:div>
    <w:div w:id="514614239">
      <w:bodyDiv w:val="1"/>
      <w:marLeft w:val="0"/>
      <w:marRight w:val="0"/>
      <w:marTop w:val="0"/>
      <w:marBottom w:val="0"/>
      <w:divBdr>
        <w:top w:val="none" w:sz="0" w:space="0" w:color="auto"/>
        <w:left w:val="none" w:sz="0" w:space="0" w:color="auto"/>
        <w:bottom w:val="none" w:sz="0" w:space="0" w:color="auto"/>
        <w:right w:val="none" w:sz="0" w:space="0" w:color="auto"/>
      </w:divBdr>
    </w:div>
    <w:div w:id="545413667">
      <w:bodyDiv w:val="1"/>
      <w:marLeft w:val="0"/>
      <w:marRight w:val="0"/>
      <w:marTop w:val="0"/>
      <w:marBottom w:val="0"/>
      <w:divBdr>
        <w:top w:val="none" w:sz="0" w:space="0" w:color="auto"/>
        <w:left w:val="none" w:sz="0" w:space="0" w:color="auto"/>
        <w:bottom w:val="none" w:sz="0" w:space="0" w:color="auto"/>
        <w:right w:val="none" w:sz="0" w:space="0" w:color="auto"/>
      </w:divBdr>
    </w:div>
    <w:div w:id="580411120">
      <w:bodyDiv w:val="1"/>
      <w:marLeft w:val="0"/>
      <w:marRight w:val="0"/>
      <w:marTop w:val="0"/>
      <w:marBottom w:val="0"/>
      <w:divBdr>
        <w:top w:val="none" w:sz="0" w:space="0" w:color="auto"/>
        <w:left w:val="none" w:sz="0" w:space="0" w:color="auto"/>
        <w:bottom w:val="none" w:sz="0" w:space="0" w:color="auto"/>
        <w:right w:val="none" w:sz="0" w:space="0" w:color="auto"/>
      </w:divBdr>
    </w:div>
    <w:div w:id="625626873">
      <w:bodyDiv w:val="1"/>
      <w:marLeft w:val="0"/>
      <w:marRight w:val="0"/>
      <w:marTop w:val="0"/>
      <w:marBottom w:val="0"/>
      <w:divBdr>
        <w:top w:val="none" w:sz="0" w:space="0" w:color="auto"/>
        <w:left w:val="none" w:sz="0" w:space="0" w:color="auto"/>
        <w:bottom w:val="none" w:sz="0" w:space="0" w:color="auto"/>
        <w:right w:val="none" w:sz="0" w:space="0" w:color="auto"/>
      </w:divBdr>
    </w:div>
    <w:div w:id="637682611">
      <w:bodyDiv w:val="1"/>
      <w:marLeft w:val="0"/>
      <w:marRight w:val="0"/>
      <w:marTop w:val="0"/>
      <w:marBottom w:val="0"/>
      <w:divBdr>
        <w:top w:val="none" w:sz="0" w:space="0" w:color="auto"/>
        <w:left w:val="none" w:sz="0" w:space="0" w:color="auto"/>
        <w:bottom w:val="none" w:sz="0" w:space="0" w:color="auto"/>
        <w:right w:val="none" w:sz="0" w:space="0" w:color="auto"/>
      </w:divBdr>
    </w:div>
    <w:div w:id="693187647">
      <w:bodyDiv w:val="1"/>
      <w:marLeft w:val="0"/>
      <w:marRight w:val="0"/>
      <w:marTop w:val="0"/>
      <w:marBottom w:val="0"/>
      <w:divBdr>
        <w:top w:val="none" w:sz="0" w:space="0" w:color="auto"/>
        <w:left w:val="none" w:sz="0" w:space="0" w:color="auto"/>
        <w:bottom w:val="none" w:sz="0" w:space="0" w:color="auto"/>
        <w:right w:val="none" w:sz="0" w:space="0" w:color="auto"/>
      </w:divBdr>
    </w:div>
    <w:div w:id="735322554">
      <w:bodyDiv w:val="1"/>
      <w:marLeft w:val="0"/>
      <w:marRight w:val="0"/>
      <w:marTop w:val="0"/>
      <w:marBottom w:val="0"/>
      <w:divBdr>
        <w:top w:val="none" w:sz="0" w:space="0" w:color="auto"/>
        <w:left w:val="none" w:sz="0" w:space="0" w:color="auto"/>
        <w:bottom w:val="none" w:sz="0" w:space="0" w:color="auto"/>
        <w:right w:val="none" w:sz="0" w:space="0" w:color="auto"/>
      </w:divBdr>
    </w:div>
    <w:div w:id="795222712">
      <w:bodyDiv w:val="1"/>
      <w:marLeft w:val="0"/>
      <w:marRight w:val="0"/>
      <w:marTop w:val="0"/>
      <w:marBottom w:val="0"/>
      <w:divBdr>
        <w:top w:val="none" w:sz="0" w:space="0" w:color="auto"/>
        <w:left w:val="none" w:sz="0" w:space="0" w:color="auto"/>
        <w:bottom w:val="none" w:sz="0" w:space="0" w:color="auto"/>
        <w:right w:val="none" w:sz="0" w:space="0" w:color="auto"/>
      </w:divBdr>
    </w:div>
    <w:div w:id="849756034">
      <w:bodyDiv w:val="1"/>
      <w:marLeft w:val="0"/>
      <w:marRight w:val="0"/>
      <w:marTop w:val="0"/>
      <w:marBottom w:val="0"/>
      <w:divBdr>
        <w:top w:val="none" w:sz="0" w:space="0" w:color="auto"/>
        <w:left w:val="none" w:sz="0" w:space="0" w:color="auto"/>
        <w:bottom w:val="none" w:sz="0" w:space="0" w:color="auto"/>
        <w:right w:val="none" w:sz="0" w:space="0" w:color="auto"/>
      </w:divBdr>
    </w:div>
    <w:div w:id="852451476">
      <w:bodyDiv w:val="1"/>
      <w:marLeft w:val="0"/>
      <w:marRight w:val="0"/>
      <w:marTop w:val="0"/>
      <w:marBottom w:val="0"/>
      <w:divBdr>
        <w:top w:val="none" w:sz="0" w:space="0" w:color="auto"/>
        <w:left w:val="none" w:sz="0" w:space="0" w:color="auto"/>
        <w:bottom w:val="none" w:sz="0" w:space="0" w:color="auto"/>
        <w:right w:val="none" w:sz="0" w:space="0" w:color="auto"/>
      </w:divBdr>
    </w:div>
    <w:div w:id="863326255">
      <w:bodyDiv w:val="1"/>
      <w:marLeft w:val="0"/>
      <w:marRight w:val="0"/>
      <w:marTop w:val="0"/>
      <w:marBottom w:val="0"/>
      <w:divBdr>
        <w:top w:val="none" w:sz="0" w:space="0" w:color="auto"/>
        <w:left w:val="none" w:sz="0" w:space="0" w:color="auto"/>
        <w:bottom w:val="none" w:sz="0" w:space="0" w:color="auto"/>
        <w:right w:val="none" w:sz="0" w:space="0" w:color="auto"/>
      </w:divBdr>
    </w:div>
    <w:div w:id="944919374">
      <w:bodyDiv w:val="1"/>
      <w:marLeft w:val="0"/>
      <w:marRight w:val="0"/>
      <w:marTop w:val="0"/>
      <w:marBottom w:val="0"/>
      <w:divBdr>
        <w:top w:val="none" w:sz="0" w:space="0" w:color="auto"/>
        <w:left w:val="none" w:sz="0" w:space="0" w:color="auto"/>
        <w:bottom w:val="none" w:sz="0" w:space="0" w:color="auto"/>
        <w:right w:val="none" w:sz="0" w:space="0" w:color="auto"/>
      </w:divBdr>
    </w:div>
    <w:div w:id="1049182138">
      <w:bodyDiv w:val="1"/>
      <w:marLeft w:val="0"/>
      <w:marRight w:val="0"/>
      <w:marTop w:val="0"/>
      <w:marBottom w:val="0"/>
      <w:divBdr>
        <w:top w:val="none" w:sz="0" w:space="0" w:color="auto"/>
        <w:left w:val="none" w:sz="0" w:space="0" w:color="auto"/>
        <w:bottom w:val="none" w:sz="0" w:space="0" w:color="auto"/>
        <w:right w:val="none" w:sz="0" w:space="0" w:color="auto"/>
      </w:divBdr>
    </w:div>
    <w:div w:id="1063913832">
      <w:bodyDiv w:val="1"/>
      <w:marLeft w:val="0"/>
      <w:marRight w:val="0"/>
      <w:marTop w:val="0"/>
      <w:marBottom w:val="0"/>
      <w:divBdr>
        <w:top w:val="none" w:sz="0" w:space="0" w:color="auto"/>
        <w:left w:val="none" w:sz="0" w:space="0" w:color="auto"/>
        <w:bottom w:val="none" w:sz="0" w:space="0" w:color="auto"/>
        <w:right w:val="none" w:sz="0" w:space="0" w:color="auto"/>
      </w:divBdr>
    </w:div>
    <w:div w:id="1080834502">
      <w:bodyDiv w:val="1"/>
      <w:marLeft w:val="0"/>
      <w:marRight w:val="0"/>
      <w:marTop w:val="0"/>
      <w:marBottom w:val="0"/>
      <w:divBdr>
        <w:top w:val="none" w:sz="0" w:space="0" w:color="auto"/>
        <w:left w:val="none" w:sz="0" w:space="0" w:color="auto"/>
        <w:bottom w:val="none" w:sz="0" w:space="0" w:color="auto"/>
        <w:right w:val="none" w:sz="0" w:space="0" w:color="auto"/>
      </w:divBdr>
    </w:div>
    <w:div w:id="1105227307">
      <w:bodyDiv w:val="1"/>
      <w:marLeft w:val="0"/>
      <w:marRight w:val="0"/>
      <w:marTop w:val="0"/>
      <w:marBottom w:val="0"/>
      <w:divBdr>
        <w:top w:val="none" w:sz="0" w:space="0" w:color="auto"/>
        <w:left w:val="none" w:sz="0" w:space="0" w:color="auto"/>
        <w:bottom w:val="none" w:sz="0" w:space="0" w:color="auto"/>
        <w:right w:val="none" w:sz="0" w:space="0" w:color="auto"/>
      </w:divBdr>
    </w:div>
    <w:div w:id="1115635740">
      <w:bodyDiv w:val="1"/>
      <w:marLeft w:val="0"/>
      <w:marRight w:val="0"/>
      <w:marTop w:val="0"/>
      <w:marBottom w:val="0"/>
      <w:divBdr>
        <w:top w:val="none" w:sz="0" w:space="0" w:color="auto"/>
        <w:left w:val="none" w:sz="0" w:space="0" w:color="auto"/>
        <w:bottom w:val="none" w:sz="0" w:space="0" w:color="auto"/>
        <w:right w:val="none" w:sz="0" w:space="0" w:color="auto"/>
      </w:divBdr>
    </w:div>
    <w:div w:id="1127503198">
      <w:bodyDiv w:val="1"/>
      <w:marLeft w:val="0"/>
      <w:marRight w:val="0"/>
      <w:marTop w:val="0"/>
      <w:marBottom w:val="0"/>
      <w:divBdr>
        <w:top w:val="none" w:sz="0" w:space="0" w:color="auto"/>
        <w:left w:val="none" w:sz="0" w:space="0" w:color="auto"/>
        <w:bottom w:val="none" w:sz="0" w:space="0" w:color="auto"/>
        <w:right w:val="none" w:sz="0" w:space="0" w:color="auto"/>
      </w:divBdr>
    </w:div>
    <w:div w:id="1170756965">
      <w:bodyDiv w:val="1"/>
      <w:marLeft w:val="0"/>
      <w:marRight w:val="0"/>
      <w:marTop w:val="0"/>
      <w:marBottom w:val="0"/>
      <w:divBdr>
        <w:top w:val="none" w:sz="0" w:space="0" w:color="auto"/>
        <w:left w:val="none" w:sz="0" w:space="0" w:color="auto"/>
        <w:bottom w:val="none" w:sz="0" w:space="0" w:color="auto"/>
        <w:right w:val="none" w:sz="0" w:space="0" w:color="auto"/>
      </w:divBdr>
    </w:div>
    <w:div w:id="1194684777">
      <w:bodyDiv w:val="1"/>
      <w:marLeft w:val="0"/>
      <w:marRight w:val="0"/>
      <w:marTop w:val="0"/>
      <w:marBottom w:val="0"/>
      <w:divBdr>
        <w:top w:val="none" w:sz="0" w:space="0" w:color="auto"/>
        <w:left w:val="none" w:sz="0" w:space="0" w:color="auto"/>
        <w:bottom w:val="none" w:sz="0" w:space="0" w:color="auto"/>
        <w:right w:val="none" w:sz="0" w:space="0" w:color="auto"/>
      </w:divBdr>
    </w:div>
    <w:div w:id="1227643199">
      <w:bodyDiv w:val="1"/>
      <w:marLeft w:val="0"/>
      <w:marRight w:val="0"/>
      <w:marTop w:val="0"/>
      <w:marBottom w:val="0"/>
      <w:divBdr>
        <w:top w:val="none" w:sz="0" w:space="0" w:color="auto"/>
        <w:left w:val="none" w:sz="0" w:space="0" w:color="auto"/>
        <w:bottom w:val="none" w:sz="0" w:space="0" w:color="auto"/>
        <w:right w:val="none" w:sz="0" w:space="0" w:color="auto"/>
      </w:divBdr>
    </w:div>
    <w:div w:id="1367020040">
      <w:bodyDiv w:val="1"/>
      <w:marLeft w:val="0"/>
      <w:marRight w:val="0"/>
      <w:marTop w:val="0"/>
      <w:marBottom w:val="0"/>
      <w:divBdr>
        <w:top w:val="none" w:sz="0" w:space="0" w:color="auto"/>
        <w:left w:val="none" w:sz="0" w:space="0" w:color="auto"/>
        <w:bottom w:val="none" w:sz="0" w:space="0" w:color="auto"/>
        <w:right w:val="none" w:sz="0" w:space="0" w:color="auto"/>
      </w:divBdr>
    </w:div>
    <w:div w:id="1408842348">
      <w:bodyDiv w:val="1"/>
      <w:marLeft w:val="0"/>
      <w:marRight w:val="0"/>
      <w:marTop w:val="0"/>
      <w:marBottom w:val="0"/>
      <w:divBdr>
        <w:top w:val="none" w:sz="0" w:space="0" w:color="auto"/>
        <w:left w:val="none" w:sz="0" w:space="0" w:color="auto"/>
        <w:bottom w:val="none" w:sz="0" w:space="0" w:color="auto"/>
        <w:right w:val="none" w:sz="0" w:space="0" w:color="auto"/>
      </w:divBdr>
    </w:div>
    <w:div w:id="1426220214">
      <w:bodyDiv w:val="1"/>
      <w:marLeft w:val="0"/>
      <w:marRight w:val="0"/>
      <w:marTop w:val="0"/>
      <w:marBottom w:val="0"/>
      <w:divBdr>
        <w:top w:val="none" w:sz="0" w:space="0" w:color="auto"/>
        <w:left w:val="none" w:sz="0" w:space="0" w:color="auto"/>
        <w:bottom w:val="none" w:sz="0" w:space="0" w:color="auto"/>
        <w:right w:val="none" w:sz="0" w:space="0" w:color="auto"/>
      </w:divBdr>
    </w:div>
    <w:div w:id="1442451686">
      <w:bodyDiv w:val="1"/>
      <w:marLeft w:val="0"/>
      <w:marRight w:val="0"/>
      <w:marTop w:val="0"/>
      <w:marBottom w:val="0"/>
      <w:divBdr>
        <w:top w:val="none" w:sz="0" w:space="0" w:color="auto"/>
        <w:left w:val="none" w:sz="0" w:space="0" w:color="auto"/>
        <w:bottom w:val="none" w:sz="0" w:space="0" w:color="auto"/>
        <w:right w:val="none" w:sz="0" w:space="0" w:color="auto"/>
      </w:divBdr>
    </w:div>
    <w:div w:id="1538083948">
      <w:bodyDiv w:val="1"/>
      <w:marLeft w:val="0"/>
      <w:marRight w:val="0"/>
      <w:marTop w:val="0"/>
      <w:marBottom w:val="0"/>
      <w:divBdr>
        <w:top w:val="none" w:sz="0" w:space="0" w:color="auto"/>
        <w:left w:val="none" w:sz="0" w:space="0" w:color="auto"/>
        <w:bottom w:val="none" w:sz="0" w:space="0" w:color="auto"/>
        <w:right w:val="none" w:sz="0" w:space="0" w:color="auto"/>
      </w:divBdr>
    </w:div>
    <w:div w:id="1646658903">
      <w:bodyDiv w:val="1"/>
      <w:marLeft w:val="0"/>
      <w:marRight w:val="0"/>
      <w:marTop w:val="0"/>
      <w:marBottom w:val="0"/>
      <w:divBdr>
        <w:top w:val="none" w:sz="0" w:space="0" w:color="auto"/>
        <w:left w:val="none" w:sz="0" w:space="0" w:color="auto"/>
        <w:bottom w:val="none" w:sz="0" w:space="0" w:color="auto"/>
        <w:right w:val="none" w:sz="0" w:space="0" w:color="auto"/>
      </w:divBdr>
    </w:div>
    <w:div w:id="1651251188">
      <w:bodyDiv w:val="1"/>
      <w:marLeft w:val="0"/>
      <w:marRight w:val="0"/>
      <w:marTop w:val="0"/>
      <w:marBottom w:val="0"/>
      <w:divBdr>
        <w:top w:val="none" w:sz="0" w:space="0" w:color="auto"/>
        <w:left w:val="none" w:sz="0" w:space="0" w:color="auto"/>
        <w:bottom w:val="none" w:sz="0" w:space="0" w:color="auto"/>
        <w:right w:val="none" w:sz="0" w:space="0" w:color="auto"/>
      </w:divBdr>
    </w:div>
    <w:div w:id="1690061965">
      <w:bodyDiv w:val="1"/>
      <w:marLeft w:val="0"/>
      <w:marRight w:val="0"/>
      <w:marTop w:val="0"/>
      <w:marBottom w:val="0"/>
      <w:divBdr>
        <w:top w:val="none" w:sz="0" w:space="0" w:color="auto"/>
        <w:left w:val="none" w:sz="0" w:space="0" w:color="auto"/>
        <w:bottom w:val="none" w:sz="0" w:space="0" w:color="auto"/>
        <w:right w:val="none" w:sz="0" w:space="0" w:color="auto"/>
      </w:divBdr>
    </w:div>
    <w:div w:id="1691640773">
      <w:bodyDiv w:val="1"/>
      <w:marLeft w:val="0"/>
      <w:marRight w:val="0"/>
      <w:marTop w:val="0"/>
      <w:marBottom w:val="0"/>
      <w:divBdr>
        <w:top w:val="none" w:sz="0" w:space="0" w:color="auto"/>
        <w:left w:val="none" w:sz="0" w:space="0" w:color="auto"/>
        <w:bottom w:val="none" w:sz="0" w:space="0" w:color="auto"/>
        <w:right w:val="none" w:sz="0" w:space="0" w:color="auto"/>
      </w:divBdr>
    </w:div>
    <w:div w:id="1699432393">
      <w:bodyDiv w:val="1"/>
      <w:marLeft w:val="0"/>
      <w:marRight w:val="0"/>
      <w:marTop w:val="0"/>
      <w:marBottom w:val="0"/>
      <w:divBdr>
        <w:top w:val="none" w:sz="0" w:space="0" w:color="auto"/>
        <w:left w:val="none" w:sz="0" w:space="0" w:color="auto"/>
        <w:bottom w:val="none" w:sz="0" w:space="0" w:color="auto"/>
        <w:right w:val="none" w:sz="0" w:space="0" w:color="auto"/>
      </w:divBdr>
    </w:div>
    <w:div w:id="1745224263">
      <w:bodyDiv w:val="1"/>
      <w:marLeft w:val="0"/>
      <w:marRight w:val="0"/>
      <w:marTop w:val="0"/>
      <w:marBottom w:val="0"/>
      <w:divBdr>
        <w:top w:val="none" w:sz="0" w:space="0" w:color="auto"/>
        <w:left w:val="none" w:sz="0" w:space="0" w:color="auto"/>
        <w:bottom w:val="none" w:sz="0" w:space="0" w:color="auto"/>
        <w:right w:val="none" w:sz="0" w:space="0" w:color="auto"/>
      </w:divBdr>
    </w:div>
    <w:div w:id="1825583556">
      <w:bodyDiv w:val="1"/>
      <w:marLeft w:val="0"/>
      <w:marRight w:val="0"/>
      <w:marTop w:val="0"/>
      <w:marBottom w:val="0"/>
      <w:divBdr>
        <w:top w:val="none" w:sz="0" w:space="0" w:color="auto"/>
        <w:left w:val="none" w:sz="0" w:space="0" w:color="auto"/>
        <w:bottom w:val="none" w:sz="0" w:space="0" w:color="auto"/>
        <w:right w:val="none" w:sz="0" w:space="0" w:color="auto"/>
      </w:divBdr>
    </w:div>
    <w:div w:id="1858273996">
      <w:bodyDiv w:val="1"/>
      <w:marLeft w:val="0"/>
      <w:marRight w:val="0"/>
      <w:marTop w:val="0"/>
      <w:marBottom w:val="0"/>
      <w:divBdr>
        <w:top w:val="none" w:sz="0" w:space="0" w:color="auto"/>
        <w:left w:val="none" w:sz="0" w:space="0" w:color="auto"/>
        <w:bottom w:val="none" w:sz="0" w:space="0" w:color="auto"/>
        <w:right w:val="none" w:sz="0" w:space="0" w:color="auto"/>
      </w:divBdr>
    </w:div>
    <w:div w:id="1948847128">
      <w:bodyDiv w:val="1"/>
      <w:marLeft w:val="0"/>
      <w:marRight w:val="0"/>
      <w:marTop w:val="0"/>
      <w:marBottom w:val="0"/>
      <w:divBdr>
        <w:top w:val="none" w:sz="0" w:space="0" w:color="auto"/>
        <w:left w:val="none" w:sz="0" w:space="0" w:color="auto"/>
        <w:bottom w:val="none" w:sz="0" w:space="0" w:color="auto"/>
        <w:right w:val="none" w:sz="0" w:space="0" w:color="auto"/>
      </w:divBdr>
    </w:div>
    <w:div w:id="1993482298">
      <w:bodyDiv w:val="1"/>
      <w:marLeft w:val="0"/>
      <w:marRight w:val="0"/>
      <w:marTop w:val="0"/>
      <w:marBottom w:val="0"/>
      <w:divBdr>
        <w:top w:val="none" w:sz="0" w:space="0" w:color="auto"/>
        <w:left w:val="none" w:sz="0" w:space="0" w:color="auto"/>
        <w:bottom w:val="none" w:sz="0" w:space="0" w:color="auto"/>
        <w:right w:val="none" w:sz="0" w:space="0" w:color="auto"/>
      </w:divBdr>
    </w:div>
    <w:div w:id="2034841191">
      <w:bodyDiv w:val="1"/>
      <w:marLeft w:val="0"/>
      <w:marRight w:val="0"/>
      <w:marTop w:val="0"/>
      <w:marBottom w:val="0"/>
      <w:divBdr>
        <w:top w:val="none" w:sz="0" w:space="0" w:color="auto"/>
        <w:left w:val="none" w:sz="0" w:space="0" w:color="auto"/>
        <w:bottom w:val="none" w:sz="0" w:space="0" w:color="auto"/>
        <w:right w:val="none" w:sz="0" w:space="0" w:color="auto"/>
      </w:divBdr>
    </w:div>
    <w:div w:id="2098625428">
      <w:bodyDiv w:val="1"/>
      <w:marLeft w:val="0"/>
      <w:marRight w:val="0"/>
      <w:marTop w:val="0"/>
      <w:marBottom w:val="0"/>
      <w:divBdr>
        <w:top w:val="none" w:sz="0" w:space="0" w:color="auto"/>
        <w:left w:val="none" w:sz="0" w:space="0" w:color="auto"/>
        <w:bottom w:val="none" w:sz="0" w:space="0" w:color="auto"/>
        <w:right w:val="none" w:sz="0" w:space="0" w:color="auto"/>
      </w:divBdr>
    </w:div>
    <w:div w:id="212029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D953F95FFCDB046B718C1E29D00DDA4" ma:contentTypeVersion="13" ma:contentTypeDescription="Crear nuevo documento." ma:contentTypeScope="" ma:versionID="54a50e40e5d80e0b0b6a130784bccd13">
  <xsd:schema xmlns:xsd="http://www.w3.org/2001/XMLSchema" xmlns:xs="http://www.w3.org/2001/XMLSchema" xmlns:p="http://schemas.microsoft.com/office/2006/metadata/properties" xmlns:ns3="001ad09f-b66b-4418-9400-e9b4648100e3" xmlns:ns4="695ad840-e170-45c9-9901-5e5f479be4b1" targetNamespace="http://schemas.microsoft.com/office/2006/metadata/properties" ma:root="true" ma:fieldsID="079a159a442d628bda142e654530e84e" ns3:_="" ns4:_="">
    <xsd:import namespace="001ad09f-b66b-4418-9400-e9b4648100e3"/>
    <xsd:import namespace="695ad840-e170-45c9-9901-5e5f479be4b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ad09f-b66b-4418-9400-e9b4648100e3"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5ad840-e170-45c9-9901-5e5f479be4b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54E9C-2DFF-4FD8-A41A-67B5A8D412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3FB6CF-C264-48F3-ACEB-B7FDA7C9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ad09f-b66b-4418-9400-e9b4648100e3"/>
    <ds:schemaRef ds:uri="695ad840-e170-45c9-9901-5e5f479be4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E9C2E2-C265-4CF7-BB2B-84A2EC9F9D68}">
  <ds:schemaRefs>
    <ds:schemaRef ds:uri="http://schemas.microsoft.com/sharepoint/v3/contenttype/forms"/>
  </ds:schemaRefs>
</ds:datastoreItem>
</file>

<file path=customXml/itemProps4.xml><?xml version="1.0" encoding="utf-8"?>
<ds:datastoreItem xmlns:ds="http://schemas.openxmlformats.org/officeDocument/2006/customXml" ds:itemID="{F22C074F-662B-44D9-9B72-ACA6D0E2E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2474</Words>
  <Characters>13612</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MARCELA CARDONA PALACIO</dc:creator>
  <cp:keywords/>
  <dc:description/>
  <cp:lastModifiedBy>CRISTIAN ORLANDO OROZCO MEJIA</cp:lastModifiedBy>
  <cp:revision>7</cp:revision>
  <dcterms:created xsi:type="dcterms:W3CDTF">2021-01-05T22:58:00Z</dcterms:created>
  <dcterms:modified xsi:type="dcterms:W3CDTF">2021-01-06T12:05:00Z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0x0101002D953F95FFCDB046B718C1E29D00DDA4</vt:lpwstr>
  </property>
</Properties>
</file>